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1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176"/>
        <w:gridCol w:w="2798"/>
        <w:gridCol w:w="502"/>
        <w:gridCol w:w="1462"/>
        <w:gridCol w:w="3172"/>
      </w:tblGrid>
      <w:tr w:rsidR="00690BCC" w:rsidRPr="00E1388F" w14:paraId="3643E903" w14:textId="77777777" w:rsidTr="00517737">
        <w:trPr>
          <w:trHeight w:val="300"/>
          <w:tblCellSpacing w:w="20" w:type="dxa"/>
        </w:trPr>
        <w:tc>
          <w:tcPr>
            <w:tcW w:w="10143" w:type="dxa"/>
            <w:gridSpan w:val="5"/>
            <w:shd w:val="clear" w:color="000000" w:fill="8B1D31"/>
            <w:vAlign w:val="bottom"/>
            <w:hideMark/>
          </w:tcPr>
          <w:p w14:paraId="1CBDBE8D" w14:textId="77777777"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1. Descripción de la Evaluación</w:t>
            </w:r>
          </w:p>
        </w:tc>
      </w:tr>
      <w:tr w:rsidR="00690BCC" w:rsidRPr="00E1388F" w14:paraId="7AA76B88" w14:textId="77777777" w:rsidTr="00517737">
        <w:trPr>
          <w:trHeight w:val="390"/>
          <w:tblCellSpacing w:w="20" w:type="dxa"/>
        </w:trPr>
        <w:tc>
          <w:tcPr>
            <w:tcW w:w="10143" w:type="dxa"/>
            <w:gridSpan w:val="5"/>
            <w:shd w:val="clear" w:color="000000" w:fill="FFFFFF"/>
            <w:hideMark/>
          </w:tcPr>
          <w:p w14:paraId="664EDDFF" w14:textId="3359A70D"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FF7130">
              <w:rPr>
                <w:rFonts w:cstheme="minorHAnsi"/>
              </w:rPr>
              <w:t>Evaluación del D</w:t>
            </w:r>
            <w:r w:rsidR="00FB4127">
              <w:rPr>
                <w:rFonts w:cstheme="minorHAnsi"/>
              </w:rPr>
              <w:t>esempeño</w:t>
            </w:r>
          </w:p>
        </w:tc>
      </w:tr>
      <w:tr w:rsidR="00690BCC" w:rsidRPr="00E1388F" w14:paraId="24988F64" w14:textId="77777777" w:rsidTr="00517737">
        <w:trPr>
          <w:trHeight w:val="390"/>
          <w:tblCellSpacing w:w="20" w:type="dxa"/>
        </w:trPr>
        <w:tc>
          <w:tcPr>
            <w:tcW w:w="10143" w:type="dxa"/>
            <w:gridSpan w:val="5"/>
            <w:shd w:val="clear" w:color="000000" w:fill="FFFFFF"/>
            <w:hideMark/>
          </w:tcPr>
          <w:p w14:paraId="03D52FD4" w14:textId="397CABD1" w:rsidR="00E1388F" w:rsidRPr="00851F10" w:rsidRDefault="00E1388F" w:rsidP="00851F10">
            <w:pPr>
              <w:spacing w:after="0" w:line="240" w:lineRule="auto"/>
              <w:rPr>
                <w:rFonts w:eastAsia="Times New Roman"/>
                <w:b/>
                <w:color w:val="000000"/>
                <w:lang w:eastAsia="es-MX"/>
              </w:rPr>
            </w:pPr>
            <w:r w:rsidRPr="00851F10">
              <w:rPr>
                <w:rFonts w:eastAsia="Times New Roman"/>
                <w:b/>
                <w:color w:val="000000"/>
                <w:lang w:eastAsia="es-MX"/>
              </w:rPr>
              <w:t>1.2 Fecha de Inicio de la Evaluación</w:t>
            </w:r>
            <w:r w:rsidR="003A23B0" w:rsidRPr="00851F10">
              <w:rPr>
                <w:rFonts w:eastAsia="Times New Roman"/>
                <w:b/>
                <w:color w:val="000000"/>
                <w:lang w:eastAsia="es-MX"/>
              </w:rPr>
              <w:t>:</w:t>
            </w:r>
            <w:r w:rsidRPr="00851F10">
              <w:rPr>
                <w:rFonts w:eastAsia="Times New Roman"/>
                <w:b/>
                <w:color w:val="000000"/>
                <w:lang w:eastAsia="es-MX"/>
              </w:rPr>
              <w:t xml:space="preserve"> </w:t>
            </w:r>
            <w:r w:rsidR="00851F10" w:rsidRPr="00851F10">
              <w:rPr>
                <w:rFonts w:eastAsia="Times New Roman"/>
                <w:bCs/>
                <w:color w:val="000000"/>
                <w:lang w:eastAsia="es-MX"/>
              </w:rPr>
              <w:t>(25/10/2021)</w:t>
            </w:r>
          </w:p>
        </w:tc>
      </w:tr>
      <w:tr w:rsidR="00690BCC" w:rsidRPr="00E1388F" w14:paraId="1FE59B1F" w14:textId="77777777" w:rsidTr="00517737">
        <w:trPr>
          <w:trHeight w:val="390"/>
          <w:tblCellSpacing w:w="20" w:type="dxa"/>
        </w:trPr>
        <w:tc>
          <w:tcPr>
            <w:tcW w:w="10143" w:type="dxa"/>
            <w:gridSpan w:val="5"/>
            <w:shd w:val="clear" w:color="000000" w:fill="FFFFFF"/>
            <w:hideMark/>
          </w:tcPr>
          <w:p w14:paraId="0BC1ABB9" w14:textId="5C2A5819" w:rsidR="00E1388F" w:rsidRPr="00851F10" w:rsidRDefault="00E1388F" w:rsidP="006A768B">
            <w:pPr>
              <w:spacing w:after="0" w:line="240" w:lineRule="auto"/>
              <w:rPr>
                <w:rFonts w:eastAsia="Times New Roman"/>
                <w:b/>
                <w:color w:val="000000"/>
                <w:lang w:eastAsia="es-MX"/>
              </w:rPr>
            </w:pPr>
            <w:r w:rsidRPr="00851F10">
              <w:rPr>
                <w:rFonts w:eastAsia="Times New Roman"/>
                <w:b/>
                <w:color w:val="000000"/>
                <w:lang w:eastAsia="es-MX"/>
              </w:rPr>
              <w:t>1.3 Fecha de Término de la Evaluación</w:t>
            </w:r>
            <w:r w:rsidR="003A23B0" w:rsidRPr="00851F10">
              <w:rPr>
                <w:rFonts w:eastAsia="Times New Roman"/>
                <w:b/>
                <w:color w:val="000000"/>
                <w:lang w:eastAsia="es-MX"/>
              </w:rPr>
              <w:t>:</w:t>
            </w:r>
            <w:r w:rsidRPr="00851F10">
              <w:rPr>
                <w:rFonts w:eastAsia="Times New Roman"/>
                <w:b/>
                <w:color w:val="000000"/>
                <w:lang w:eastAsia="es-MX"/>
              </w:rPr>
              <w:t xml:space="preserve"> </w:t>
            </w:r>
            <w:r w:rsidR="00851F10" w:rsidRPr="00851F10">
              <w:rPr>
                <w:rFonts w:eastAsia="Times New Roman"/>
                <w:bCs/>
                <w:color w:val="000000"/>
                <w:lang w:eastAsia="es-MX"/>
              </w:rPr>
              <w:t>(28/01/2022)</w:t>
            </w:r>
          </w:p>
        </w:tc>
      </w:tr>
      <w:tr w:rsidR="00690BCC" w:rsidRPr="00E1388F" w14:paraId="3869A1C1" w14:textId="77777777" w:rsidTr="00517737">
        <w:trPr>
          <w:trHeight w:val="410"/>
          <w:tblCellSpacing w:w="20" w:type="dxa"/>
        </w:trPr>
        <w:tc>
          <w:tcPr>
            <w:tcW w:w="10143" w:type="dxa"/>
            <w:gridSpan w:val="5"/>
            <w:shd w:val="clear" w:color="auto" w:fill="D9D9D9" w:themeFill="background1" w:themeFillShade="D9"/>
            <w:hideMark/>
          </w:tcPr>
          <w:p w14:paraId="467CAF9B" w14:textId="77777777" w:rsidR="00E1388F" w:rsidRPr="000A0543" w:rsidRDefault="00E1388F" w:rsidP="000A0543">
            <w:pPr>
              <w:spacing w:after="0" w:line="240" w:lineRule="auto"/>
              <w:rPr>
                <w:rFonts w:eastAsia="Times New Roman"/>
                <w:b/>
                <w:color w:val="000000"/>
                <w:lang w:eastAsia="es-MX"/>
              </w:rPr>
            </w:pPr>
            <w:r w:rsidRPr="000A0543">
              <w:rPr>
                <w:rFonts w:eastAsia="Times New Roman"/>
                <w:b/>
                <w:color w:val="000000"/>
                <w:lang w:eastAsia="es-MX"/>
              </w:rPr>
              <w:t>1.4 Nombre de la</w:t>
            </w:r>
            <w:r w:rsidR="0049271E" w:rsidRPr="000A0543">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14:paraId="12FCC9EC" w14:textId="77777777" w:rsidTr="00517737">
        <w:trPr>
          <w:trHeight w:val="405"/>
          <w:tblCellSpacing w:w="20" w:type="dxa"/>
        </w:trPr>
        <w:tc>
          <w:tcPr>
            <w:tcW w:w="5471" w:type="dxa"/>
            <w:gridSpan w:val="3"/>
            <w:shd w:val="clear" w:color="000000" w:fill="FFFFFF"/>
            <w:hideMark/>
          </w:tcPr>
          <w:p w14:paraId="476F37CA"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Nombre:</w:t>
            </w:r>
          </w:p>
          <w:p w14:paraId="10BC0F96" w14:textId="32A067EF" w:rsidR="000A0543" w:rsidRPr="00E1388F" w:rsidRDefault="00FB4127" w:rsidP="00E1388F">
            <w:pPr>
              <w:spacing w:after="0" w:line="240" w:lineRule="auto"/>
              <w:rPr>
                <w:rFonts w:eastAsia="Times New Roman"/>
                <w:color w:val="000000"/>
                <w:lang w:eastAsia="es-MX"/>
              </w:rPr>
            </w:pPr>
            <w:r w:rsidRPr="00EF2C27">
              <w:rPr>
                <w:rFonts w:eastAsia="Times New Roman"/>
                <w:color w:val="000000"/>
                <w:lang w:eastAsia="es-MX"/>
              </w:rPr>
              <w:t>Gustavo Guzmán Cazares</w:t>
            </w:r>
            <w:r w:rsidR="00DA34D1">
              <w:rPr>
                <w:rFonts w:eastAsia="Times New Roman"/>
                <w:color w:val="000000"/>
                <w:lang w:eastAsia="es-MX"/>
              </w:rPr>
              <w:t xml:space="preserve"> </w:t>
            </w:r>
            <w:r w:rsidRPr="00EF2C27">
              <w:rPr>
                <w:rFonts w:eastAsia="Times New Roman"/>
                <w:color w:val="000000"/>
                <w:lang w:eastAsia="es-MX"/>
              </w:rPr>
              <w:t>/</w:t>
            </w:r>
            <w:r w:rsidR="00DA34D1">
              <w:rPr>
                <w:rFonts w:eastAsia="Times New Roman"/>
                <w:color w:val="000000"/>
                <w:lang w:eastAsia="es-MX"/>
              </w:rPr>
              <w:t xml:space="preserve"> </w:t>
            </w:r>
            <w:r w:rsidRPr="00EF2C27">
              <w:rPr>
                <w:rFonts w:eastAsia="Times New Roman"/>
                <w:color w:val="000000"/>
                <w:lang w:eastAsia="es-MX"/>
              </w:rPr>
              <w:t>Domingo Vega González</w:t>
            </w:r>
          </w:p>
        </w:tc>
        <w:tc>
          <w:tcPr>
            <w:tcW w:w="4632" w:type="dxa"/>
            <w:gridSpan w:val="2"/>
            <w:shd w:val="clear" w:color="000000" w:fill="FFFFFF"/>
            <w:hideMark/>
          </w:tcPr>
          <w:p w14:paraId="19AEA0BF"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Unidad Administrativa:</w:t>
            </w:r>
          </w:p>
          <w:p w14:paraId="5B597C27" w14:textId="77777777" w:rsidR="000A0543" w:rsidRPr="00E1388F" w:rsidRDefault="00FB4127" w:rsidP="00E1388F">
            <w:pPr>
              <w:spacing w:after="0" w:line="240" w:lineRule="auto"/>
              <w:rPr>
                <w:rFonts w:eastAsia="Times New Roman"/>
                <w:color w:val="000000"/>
                <w:lang w:eastAsia="es-MX"/>
              </w:rPr>
            </w:pPr>
            <w:r>
              <w:rPr>
                <w:rFonts w:eastAsia="Times New Roman"/>
                <w:color w:val="000000"/>
                <w:lang w:eastAsia="es-MX"/>
              </w:rPr>
              <w:t>SESESP</w:t>
            </w:r>
          </w:p>
        </w:tc>
      </w:tr>
      <w:tr w:rsidR="00690BCC" w:rsidRPr="00E1388F" w14:paraId="21C6FB10" w14:textId="77777777" w:rsidTr="00517737">
        <w:trPr>
          <w:trHeight w:val="495"/>
          <w:tblCellSpacing w:w="20" w:type="dxa"/>
        </w:trPr>
        <w:tc>
          <w:tcPr>
            <w:tcW w:w="10143" w:type="dxa"/>
            <w:gridSpan w:val="5"/>
            <w:shd w:val="clear" w:color="000000" w:fill="FFFFFF"/>
            <w:hideMark/>
          </w:tcPr>
          <w:p w14:paraId="06DB2FD7" w14:textId="2D696F8E" w:rsidR="00E1388F" w:rsidRPr="00BA4A59" w:rsidRDefault="00E1388F" w:rsidP="00537028">
            <w:pPr>
              <w:spacing w:after="0"/>
              <w:jc w:val="both"/>
              <w:rPr>
                <w:rFonts w:eastAsia="Times New Roman"/>
                <w:b/>
                <w:color w:val="000000"/>
                <w:lang w:eastAsia="es-MX"/>
              </w:rPr>
            </w:pPr>
            <w:r w:rsidRPr="00BA4A59">
              <w:rPr>
                <w:rFonts w:eastAsia="Times New Roman"/>
                <w:b/>
                <w:color w:val="000000"/>
                <w:lang w:eastAsia="es-MX"/>
              </w:rPr>
              <w:t>1.5 Objetivo General de la Evaluación:</w:t>
            </w:r>
            <w:r w:rsidR="005A3FEB" w:rsidRPr="005A3FEB">
              <w:rPr>
                <w:color w:val="000000"/>
                <w:sz w:val="27"/>
                <w:szCs w:val="27"/>
              </w:rPr>
              <w:t xml:space="preserve"> </w:t>
            </w:r>
            <w:r w:rsidR="005A3FEB" w:rsidRPr="00537028">
              <w:rPr>
                <w:rFonts w:eastAsia="Times New Roman"/>
                <w:bCs/>
                <w:color w:val="000000"/>
                <w:lang w:eastAsia="es-MX"/>
              </w:rPr>
              <w:t>Analizar sistemáticamente los resultados obtenidos de los Programas con Prioridad Nacional y subprogramas contenidos en el Anexo Técnico del Conven</w:t>
            </w:r>
            <w:r w:rsidR="006A768B">
              <w:rPr>
                <w:rFonts w:eastAsia="Times New Roman"/>
                <w:bCs/>
                <w:color w:val="000000"/>
                <w:lang w:eastAsia="es-MX"/>
              </w:rPr>
              <w:t>io de Coordinación del FASP 2020</w:t>
            </w:r>
            <w:r w:rsidR="005A3FEB" w:rsidRPr="00537028">
              <w:rPr>
                <w:rFonts w:eastAsia="Times New Roman"/>
                <w:bCs/>
                <w:color w:val="000000"/>
                <w:lang w:eastAsia="es-MX"/>
              </w:rPr>
              <w:t xml:space="preserve"> del Estado de Sinaloa, con base en la información entregada por las áreas responsables de su ejecución y operación, a fin de determinar su pertinencia, el logro de los objetivos y metas, así como la eficiencia, eficacia, calidad, impacto y sostenibilidad de los mismos.</w:t>
            </w:r>
          </w:p>
        </w:tc>
      </w:tr>
      <w:tr w:rsidR="00690BCC" w:rsidRPr="00E1388F" w14:paraId="67724B3E" w14:textId="77777777" w:rsidTr="00517737">
        <w:trPr>
          <w:trHeight w:val="450"/>
          <w:tblCellSpacing w:w="20" w:type="dxa"/>
        </w:trPr>
        <w:tc>
          <w:tcPr>
            <w:tcW w:w="10143" w:type="dxa"/>
            <w:gridSpan w:val="5"/>
            <w:shd w:val="clear" w:color="000000" w:fill="FFFFFF"/>
            <w:hideMark/>
          </w:tcPr>
          <w:p w14:paraId="699A51E0" w14:textId="77777777" w:rsidR="00A631C2" w:rsidRPr="00A631C2" w:rsidRDefault="00E1388F" w:rsidP="00A631C2">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Específicas</w:t>
            </w:r>
            <w:r w:rsidRPr="00A631C2">
              <w:rPr>
                <w:rFonts w:eastAsia="Times New Roman"/>
                <w:b/>
                <w:color w:val="000000"/>
                <w:lang w:eastAsia="es-MX"/>
              </w:rPr>
              <w:t xml:space="preserve"> de la Evaluación:</w:t>
            </w:r>
            <w:r w:rsidR="00332B81" w:rsidRPr="00A631C2">
              <w:rPr>
                <w:rFonts w:eastAsia="Times New Roman"/>
                <w:b/>
                <w:color w:val="000000"/>
                <w:lang w:eastAsia="es-MX"/>
              </w:rPr>
              <w:t xml:space="preserve"> </w:t>
            </w:r>
          </w:p>
          <w:p w14:paraId="381980EB" w14:textId="77777777" w:rsidR="003752E1" w:rsidRPr="00537028" w:rsidRDefault="003752E1" w:rsidP="00EF2C27">
            <w:pPr>
              <w:pStyle w:val="Prrafodelista"/>
              <w:numPr>
                <w:ilvl w:val="0"/>
                <w:numId w:val="1"/>
              </w:numPr>
              <w:spacing w:after="0" w:line="240" w:lineRule="auto"/>
              <w:ind w:left="502" w:hanging="284"/>
              <w:jc w:val="both"/>
              <w:rPr>
                <w:rFonts w:eastAsia="Times New Roman"/>
                <w:bCs/>
                <w:color w:val="000000"/>
                <w:lang w:eastAsia="es-MX"/>
              </w:rPr>
            </w:pPr>
            <w:r w:rsidRPr="00537028">
              <w:rPr>
                <w:rFonts w:eastAsia="Times New Roman"/>
                <w:bCs/>
                <w:color w:val="000000"/>
                <w:lang w:eastAsia="es-MX"/>
              </w:rPr>
              <w:t>Contar con una evaluación narrativa por subprograma que valore de manera clara y específica su desempeño y resultados.</w:t>
            </w:r>
          </w:p>
          <w:p w14:paraId="7CC1DFDB" w14:textId="2D40DCC3" w:rsidR="003752E1" w:rsidRPr="00537028" w:rsidRDefault="003752E1" w:rsidP="00EF2C27">
            <w:pPr>
              <w:pStyle w:val="Prrafodelista"/>
              <w:numPr>
                <w:ilvl w:val="0"/>
                <w:numId w:val="1"/>
              </w:numPr>
              <w:spacing w:after="0" w:line="240" w:lineRule="auto"/>
              <w:ind w:left="502" w:hanging="284"/>
              <w:jc w:val="both"/>
              <w:rPr>
                <w:rFonts w:eastAsia="Times New Roman"/>
                <w:bCs/>
                <w:color w:val="000000"/>
                <w:lang w:eastAsia="es-MX"/>
              </w:rPr>
            </w:pPr>
            <w:r w:rsidRPr="00537028">
              <w:rPr>
                <w:rFonts w:eastAsia="Times New Roman"/>
                <w:bCs/>
                <w:color w:val="000000"/>
                <w:lang w:eastAsia="es-MX"/>
              </w:rPr>
              <w:t>Verificar el grado de cumplimiento de objetivos y metas, con base en indicadores estratégicos y de gestión que permitan conocer los resultados de la aplicación de los recursos.</w:t>
            </w:r>
          </w:p>
          <w:p w14:paraId="3E5412BA" w14:textId="2C620307" w:rsidR="003752E1" w:rsidRPr="00537028" w:rsidRDefault="003752E1" w:rsidP="00EF2C27">
            <w:pPr>
              <w:pStyle w:val="Prrafodelista"/>
              <w:numPr>
                <w:ilvl w:val="0"/>
                <w:numId w:val="1"/>
              </w:numPr>
              <w:spacing w:after="0" w:line="240" w:lineRule="auto"/>
              <w:ind w:left="502" w:hanging="284"/>
              <w:jc w:val="both"/>
              <w:rPr>
                <w:rFonts w:eastAsia="Times New Roman"/>
                <w:bCs/>
                <w:color w:val="000000"/>
                <w:lang w:eastAsia="es-MX"/>
              </w:rPr>
            </w:pPr>
            <w:r w:rsidRPr="00537028">
              <w:rPr>
                <w:rFonts w:eastAsia="Times New Roman"/>
                <w:bCs/>
                <w:color w:val="000000"/>
                <w:lang w:eastAsia="es-MX"/>
              </w:rPr>
              <w:t>Presentar las evidencias necesarias para darle legitimidad al contenido de la evaluación.</w:t>
            </w:r>
          </w:p>
          <w:p w14:paraId="71681ECF" w14:textId="471AE362" w:rsidR="003752E1" w:rsidRPr="00537028" w:rsidRDefault="003752E1" w:rsidP="00EF2C27">
            <w:pPr>
              <w:pStyle w:val="Prrafodelista"/>
              <w:numPr>
                <w:ilvl w:val="0"/>
                <w:numId w:val="1"/>
              </w:numPr>
              <w:spacing w:after="0" w:line="240" w:lineRule="auto"/>
              <w:ind w:left="502" w:hanging="284"/>
              <w:jc w:val="both"/>
              <w:rPr>
                <w:rFonts w:eastAsia="Times New Roman"/>
                <w:bCs/>
                <w:color w:val="000000"/>
                <w:lang w:eastAsia="es-MX"/>
              </w:rPr>
            </w:pPr>
            <w:r w:rsidRPr="00537028">
              <w:rPr>
                <w:rFonts w:eastAsia="Times New Roman"/>
                <w:bCs/>
                <w:color w:val="000000"/>
                <w:lang w:eastAsia="es-MX"/>
              </w:rPr>
              <w:t>Identificar los logros obtenidos en materia de seguridad pública, analizando de manera sistemática y objetiva las causas de las variaciones respecto a los objetivos y metas programados.</w:t>
            </w:r>
          </w:p>
          <w:p w14:paraId="4B539BE5" w14:textId="6D91F726" w:rsidR="003752E1" w:rsidRPr="00537028" w:rsidRDefault="003752E1" w:rsidP="00EF2C27">
            <w:pPr>
              <w:pStyle w:val="Prrafodelista"/>
              <w:numPr>
                <w:ilvl w:val="0"/>
                <w:numId w:val="1"/>
              </w:numPr>
              <w:spacing w:after="0" w:line="240" w:lineRule="auto"/>
              <w:ind w:left="502" w:hanging="284"/>
              <w:jc w:val="both"/>
              <w:rPr>
                <w:rFonts w:eastAsia="Times New Roman"/>
                <w:bCs/>
                <w:color w:val="000000"/>
                <w:lang w:eastAsia="es-MX"/>
              </w:rPr>
            </w:pPr>
            <w:r w:rsidRPr="00537028">
              <w:rPr>
                <w:rFonts w:eastAsia="Times New Roman"/>
                <w:bCs/>
                <w:color w:val="000000"/>
                <w:lang w:eastAsia="es-MX"/>
              </w:rPr>
              <w:t>Describir el impacto de los resultados alcanzados en materia de seguridad pública, derivados de la ejecución de los programas financiados con las aportaciones conjuntas.</w:t>
            </w:r>
          </w:p>
          <w:p w14:paraId="7F21F103" w14:textId="7A5025BD" w:rsidR="003752E1" w:rsidRPr="00537028" w:rsidRDefault="003752E1" w:rsidP="00EF2C27">
            <w:pPr>
              <w:pStyle w:val="Prrafodelista"/>
              <w:numPr>
                <w:ilvl w:val="0"/>
                <w:numId w:val="1"/>
              </w:numPr>
              <w:spacing w:after="0" w:line="240" w:lineRule="auto"/>
              <w:ind w:left="502" w:hanging="284"/>
              <w:jc w:val="both"/>
              <w:rPr>
                <w:rFonts w:eastAsia="Times New Roman"/>
                <w:bCs/>
                <w:color w:val="000000"/>
                <w:lang w:eastAsia="es-MX"/>
              </w:rPr>
            </w:pPr>
            <w:r w:rsidRPr="00537028">
              <w:rPr>
                <w:rFonts w:eastAsia="Times New Roman"/>
                <w:bCs/>
                <w:color w:val="000000"/>
                <w:lang w:eastAsia="es-MX"/>
              </w:rPr>
              <w:t>Analizar el avance de las metas de los indicadores de la Matriz de Indicador</w:t>
            </w:r>
            <w:r w:rsidR="006A768B">
              <w:rPr>
                <w:rFonts w:eastAsia="Times New Roman"/>
                <w:bCs/>
                <w:color w:val="000000"/>
                <w:lang w:eastAsia="es-MX"/>
              </w:rPr>
              <w:t>es para Resultados (MIR) en 2020</w:t>
            </w:r>
            <w:r w:rsidRPr="00537028">
              <w:rPr>
                <w:rFonts w:eastAsia="Times New Roman"/>
                <w:bCs/>
                <w:color w:val="000000"/>
                <w:lang w:eastAsia="es-MX"/>
              </w:rPr>
              <w:t>, respecto a las metas establecidas.</w:t>
            </w:r>
          </w:p>
          <w:p w14:paraId="1FBF567A" w14:textId="46FE084E" w:rsidR="003752E1" w:rsidRPr="00537028" w:rsidRDefault="003752E1" w:rsidP="00EF2C27">
            <w:pPr>
              <w:pStyle w:val="Prrafodelista"/>
              <w:numPr>
                <w:ilvl w:val="0"/>
                <w:numId w:val="1"/>
              </w:numPr>
              <w:spacing w:after="0" w:line="240" w:lineRule="auto"/>
              <w:ind w:left="502" w:hanging="284"/>
              <w:jc w:val="both"/>
              <w:rPr>
                <w:rFonts w:eastAsia="Times New Roman"/>
                <w:bCs/>
                <w:color w:val="000000"/>
                <w:lang w:eastAsia="es-MX"/>
              </w:rPr>
            </w:pPr>
            <w:r w:rsidRPr="00537028">
              <w:rPr>
                <w:rFonts w:eastAsia="Times New Roman"/>
                <w:bCs/>
                <w:color w:val="000000"/>
                <w:lang w:eastAsia="es-MX"/>
              </w:rPr>
              <w:t>Identificar los principales aspectos susceptibles de mejora de los programas derivados de las evaluaciones externas.</w:t>
            </w:r>
          </w:p>
          <w:p w14:paraId="0DB4AD8A" w14:textId="1A916C68" w:rsidR="00E1388F" w:rsidRPr="00BA4A59" w:rsidRDefault="003752E1" w:rsidP="00EF2C27">
            <w:pPr>
              <w:pStyle w:val="Prrafodelista"/>
              <w:numPr>
                <w:ilvl w:val="0"/>
                <w:numId w:val="1"/>
              </w:numPr>
              <w:spacing w:after="0" w:line="240" w:lineRule="auto"/>
              <w:ind w:left="502" w:hanging="284"/>
              <w:jc w:val="both"/>
              <w:rPr>
                <w:rFonts w:eastAsia="Times New Roman"/>
                <w:b/>
                <w:color w:val="000000"/>
                <w:lang w:eastAsia="es-MX"/>
              </w:rPr>
            </w:pPr>
            <w:r w:rsidRPr="00537028">
              <w:rPr>
                <w:rFonts w:eastAsia="Times New Roman"/>
                <w:bCs/>
                <w:color w:val="000000"/>
                <w:lang w:eastAsia="es-MX"/>
              </w:rPr>
              <w:t>Examinar los resultados del programa respecto a la atención del problema para el que fue creado.</w:t>
            </w:r>
          </w:p>
        </w:tc>
      </w:tr>
      <w:tr w:rsidR="00690BCC" w:rsidRPr="00E1388F" w14:paraId="14A423C6" w14:textId="77777777" w:rsidTr="00517737">
        <w:trPr>
          <w:trHeight w:val="480"/>
          <w:tblCellSpacing w:w="20" w:type="dxa"/>
        </w:trPr>
        <w:tc>
          <w:tcPr>
            <w:tcW w:w="10143" w:type="dxa"/>
            <w:gridSpan w:val="5"/>
            <w:shd w:val="clear" w:color="000000" w:fill="FFFFFF"/>
            <w:hideMark/>
          </w:tcPr>
          <w:p w14:paraId="3FDCCCA8" w14:textId="5706C27D" w:rsidR="00E1388F" w:rsidRPr="00537028" w:rsidRDefault="00E1388F" w:rsidP="00EF2C27">
            <w:pPr>
              <w:spacing w:after="0"/>
              <w:jc w:val="both"/>
              <w:rPr>
                <w:rFonts w:eastAsia="Times New Roman"/>
                <w:bCs/>
                <w:color w:val="000000"/>
                <w:lang w:eastAsia="es-MX"/>
              </w:rPr>
            </w:pPr>
            <w:r w:rsidRPr="00BA4A59">
              <w:rPr>
                <w:rFonts w:eastAsia="Times New Roman"/>
                <w:b/>
                <w:color w:val="000000"/>
                <w:lang w:eastAsia="es-MX"/>
              </w:rPr>
              <w:t>1.7 Metodología Utilizada en la Evaluación:</w:t>
            </w:r>
            <w:r w:rsidR="00332B81">
              <w:rPr>
                <w:rFonts w:eastAsia="Times New Roman"/>
                <w:color w:val="000000"/>
                <w:lang w:eastAsia="es-MX"/>
              </w:rPr>
              <w:t xml:space="preserve"> </w:t>
            </w:r>
            <w:r w:rsidR="003752E1" w:rsidRPr="00537028">
              <w:rPr>
                <w:rFonts w:eastAsia="Times New Roman"/>
                <w:bCs/>
                <w:color w:val="000000"/>
                <w:lang w:eastAsia="es-MX"/>
              </w:rPr>
              <w:t>La establecida en los Lineamientos Generales de Evaluación del Fondo de Aportaciones para la Seguridad Pública de los Estados y del Distrito Federal (FAS</w:t>
            </w:r>
            <w:r w:rsidR="006A768B">
              <w:rPr>
                <w:rFonts w:eastAsia="Times New Roman"/>
                <w:bCs/>
                <w:color w:val="000000"/>
                <w:lang w:eastAsia="es-MX"/>
              </w:rPr>
              <w:t>P) para el ejercicio Fiscal 2020</w:t>
            </w:r>
            <w:r w:rsidR="003752E1" w:rsidRPr="00537028">
              <w:rPr>
                <w:rFonts w:eastAsia="Times New Roman"/>
                <w:bCs/>
                <w:color w:val="000000"/>
                <w:lang w:eastAsia="es-MX"/>
              </w:rPr>
              <w:t>; emitidos por el Secretariado Ejecutivo del Sistema Nacional de Seguridad Pública (SESNSP)</w:t>
            </w:r>
          </w:p>
        </w:tc>
      </w:tr>
      <w:tr w:rsidR="00DF4DCD" w:rsidRPr="00E1388F" w14:paraId="13ED17A7" w14:textId="77777777" w:rsidTr="00517737">
        <w:trPr>
          <w:trHeight w:val="370"/>
          <w:tblCellSpacing w:w="20" w:type="dxa"/>
        </w:trPr>
        <w:tc>
          <w:tcPr>
            <w:tcW w:w="10143" w:type="dxa"/>
            <w:gridSpan w:val="5"/>
            <w:shd w:val="clear" w:color="auto" w:fill="D9D9D9" w:themeFill="background1" w:themeFillShade="D9"/>
          </w:tcPr>
          <w:p w14:paraId="72E69B9F" w14:textId="6610D18A" w:rsidR="00DF4DCD" w:rsidRPr="00BA4A59" w:rsidRDefault="00DF4DCD" w:rsidP="00DF4DCD">
            <w:pPr>
              <w:spacing w:after="0" w:line="240" w:lineRule="auto"/>
              <w:rPr>
                <w:rFonts w:eastAsia="Times New Roman"/>
                <w:b/>
                <w:color w:val="000000"/>
                <w:lang w:eastAsia="es-MX"/>
              </w:rPr>
            </w:pPr>
            <w:r w:rsidRPr="00BA4A59">
              <w:rPr>
                <w:rFonts w:eastAsia="Times New Roman"/>
                <w:b/>
                <w:color w:val="000000"/>
                <w:lang w:eastAsia="es-MX"/>
              </w:rPr>
              <w:t>Instrumentos de Recolección de Información:</w:t>
            </w:r>
          </w:p>
        </w:tc>
      </w:tr>
      <w:tr w:rsidR="00517737" w:rsidRPr="00E1388F" w14:paraId="70B193CE" w14:textId="77777777" w:rsidTr="00517737">
        <w:trPr>
          <w:trHeight w:val="480"/>
          <w:tblCellSpacing w:w="20" w:type="dxa"/>
        </w:trPr>
        <w:tc>
          <w:tcPr>
            <w:tcW w:w="2130" w:type="dxa"/>
            <w:shd w:val="clear" w:color="000000" w:fill="FFFFFF"/>
          </w:tcPr>
          <w:p w14:paraId="70A42027" w14:textId="045104A8"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Cuestionarios:</w:t>
            </w:r>
            <w:r>
              <w:rPr>
                <w:rFonts w:eastAsia="Times New Roman"/>
                <w:b/>
                <w:color w:val="000000"/>
                <w:lang w:eastAsia="es-MX"/>
              </w:rPr>
              <w:t xml:space="preserve"> X</w:t>
            </w:r>
          </w:p>
        </w:tc>
        <w:tc>
          <w:tcPr>
            <w:tcW w:w="2795" w:type="dxa"/>
            <w:shd w:val="clear" w:color="000000" w:fill="FFFFFF"/>
          </w:tcPr>
          <w:p w14:paraId="63726C74" w14:textId="332C5F26"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Entrevistas:</w:t>
            </w:r>
            <w:r>
              <w:rPr>
                <w:rFonts w:eastAsia="Times New Roman"/>
                <w:b/>
                <w:color w:val="000000"/>
                <w:lang w:eastAsia="es-MX"/>
              </w:rPr>
              <w:t xml:space="preserve"> X</w:t>
            </w:r>
          </w:p>
        </w:tc>
        <w:tc>
          <w:tcPr>
            <w:tcW w:w="1945" w:type="dxa"/>
            <w:gridSpan w:val="2"/>
            <w:shd w:val="clear" w:color="000000" w:fill="FFFFFF"/>
          </w:tcPr>
          <w:p w14:paraId="37B79ABF" w14:textId="484AFE89"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Formatos:</w:t>
            </w:r>
            <w:r>
              <w:rPr>
                <w:rFonts w:eastAsia="Times New Roman"/>
                <w:b/>
                <w:color w:val="000000"/>
                <w:lang w:eastAsia="es-MX"/>
              </w:rPr>
              <w:t xml:space="preserve"> X</w:t>
            </w:r>
          </w:p>
        </w:tc>
        <w:tc>
          <w:tcPr>
            <w:tcW w:w="3153" w:type="dxa"/>
            <w:shd w:val="clear" w:color="000000" w:fill="FFFFFF"/>
          </w:tcPr>
          <w:p w14:paraId="6B95E651" w14:textId="00139D6C"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Especifique:</w:t>
            </w:r>
            <w:r>
              <w:rPr>
                <w:rFonts w:eastAsia="Times New Roman"/>
                <w:b/>
                <w:color w:val="000000"/>
                <w:lang w:eastAsia="es-MX"/>
              </w:rPr>
              <w:t xml:space="preserve"> </w:t>
            </w:r>
            <w:r w:rsidRPr="00537028">
              <w:rPr>
                <w:rFonts w:eastAsia="Times New Roman"/>
                <w:bCs/>
                <w:color w:val="000000"/>
                <w:lang w:eastAsia="es-MX"/>
              </w:rPr>
              <w:t>Archivo del SESESP</w:t>
            </w:r>
          </w:p>
        </w:tc>
      </w:tr>
    </w:tbl>
    <w:p w14:paraId="38E69C33" w14:textId="77777777" w:rsidR="00517737" w:rsidRDefault="00517737" w:rsidP="00517737">
      <w:pPr>
        <w:spacing w:after="0"/>
      </w:pPr>
    </w:p>
    <w:tbl>
      <w:tblPr>
        <w:tblW w:w="1011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110"/>
      </w:tblGrid>
      <w:tr w:rsidR="00DF4DCD" w:rsidRPr="00BA4A59" w14:paraId="668AD3B9" w14:textId="77777777" w:rsidTr="00517737">
        <w:trPr>
          <w:trHeight w:val="300"/>
          <w:tblCellSpacing w:w="20" w:type="dxa"/>
        </w:trPr>
        <w:tc>
          <w:tcPr>
            <w:tcW w:w="9623" w:type="dxa"/>
            <w:shd w:val="clear" w:color="auto" w:fill="auto"/>
            <w:vAlign w:val="center"/>
          </w:tcPr>
          <w:p w14:paraId="6BFD113A" w14:textId="3912AF6F" w:rsidR="00DF4DCD" w:rsidRPr="00BA4A59" w:rsidRDefault="00DF4DCD" w:rsidP="00EF2C27">
            <w:pPr>
              <w:spacing w:after="0" w:line="240" w:lineRule="auto"/>
              <w:jc w:val="both"/>
              <w:rPr>
                <w:rFonts w:eastAsia="Times New Roman"/>
                <w:b/>
                <w:color w:val="FFFFFF"/>
                <w:lang w:eastAsia="es-MX"/>
              </w:rPr>
            </w:pPr>
            <w:r w:rsidRPr="00BA4A59">
              <w:rPr>
                <w:rFonts w:eastAsia="Times New Roman"/>
                <w:b/>
                <w:color w:val="000000"/>
                <w:lang w:eastAsia="es-MX"/>
              </w:rPr>
              <w:lastRenderedPageBreak/>
              <w:t>Descripción de las Técnicas y Modelos Utilizados:</w:t>
            </w:r>
            <w:r w:rsidR="00EF2C27">
              <w:rPr>
                <w:rFonts w:eastAsia="Times New Roman"/>
                <w:b/>
                <w:color w:val="000000"/>
                <w:lang w:eastAsia="es-MX"/>
              </w:rPr>
              <w:t xml:space="preserve"> </w:t>
            </w:r>
            <w:r w:rsidRPr="00537028">
              <w:rPr>
                <w:rFonts w:eastAsia="Times New Roman"/>
                <w:bCs/>
                <w:color w:val="000000"/>
                <w:lang w:eastAsia="es-MX"/>
              </w:rPr>
              <w:t>Los Lineamientos son el documento normativo que establece las especificaciones técnicas, objeto y estructura de cómo ejecutar la evaluación de los objetivos, metas y ejercicio de los recursos del financiamiento conjunto, que se deberá observar para la Evaluación de los Programas con Prioridad Nacional (PPN) y subprogramas establecidos en el Anexo Técnico del Convenio de Coordinación en m</w:t>
            </w:r>
            <w:r w:rsidR="006A768B">
              <w:rPr>
                <w:rFonts w:eastAsia="Times New Roman"/>
                <w:bCs/>
                <w:color w:val="000000"/>
                <w:lang w:eastAsia="es-MX"/>
              </w:rPr>
              <w:t>ateria de Seguridad Pública 2020</w:t>
            </w:r>
            <w:r w:rsidRPr="00537028">
              <w:rPr>
                <w:rFonts w:eastAsia="Times New Roman"/>
                <w:bCs/>
                <w:color w:val="000000"/>
                <w:lang w:eastAsia="es-MX"/>
              </w:rPr>
              <w:t>.</w:t>
            </w:r>
          </w:p>
        </w:tc>
      </w:tr>
      <w:tr w:rsidR="00690BCC" w:rsidRPr="00BA4A59" w14:paraId="736D100E" w14:textId="77777777" w:rsidTr="00517737">
        <w:trPr>
          <w:trHeight w:val="300"/>
          <w:tblCellSpacing w:w="20" w:type="dxa"/>
        </w:trPr>
        <w:tc>
          <w:tcPr>
            <w:tcW w:w="9623" w:type="dxa"/>
            <w:shd w:val="clear" w:color="000000" w:fill="8B1D31"/>
            <w:vAlign w:val="center"/>
            <w:hideMark/>
          </w:tcPr>
          <w:p w14:paraId="5FEF1E5F"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2. Principales Hallazgos de la Evaluación</w:t>
            </w:r>
          </w:p>
        </w:tc>
      </w:tr>
      <w:tr w:rsidR="00690BCC" w:rsidRPr="00E1388F" w14:paraId="560BBE8E" w14:textId="77777777" w:rsidTr="00517737">
        <w:trPr>
          <w:trHeight w:val="465"/>
          <w:tblCellSpacing w:w="20" w:type="dxa"/>
        </w:trPr>
        <w:tc>
          <w:tcPr>
            <w:tcW w:w="9623" w:type="dxa"/>
            <w:shd w:val="clear" w:color="000000" w:fill="FFFFFF"/>
            <w:hideMark/>
          </w:tcPr>
          <w:p w14:paraId="4D59E8F2" w14:textId="1CE11084" w:rsidR="00D37BFC" w:rsidRPr="005763DF" w:rsidRDefault="00E1388F" w:rsidP="0047370C">
            <w:pPr>
              <w:spacing w:after="0" w:line="240" w:lineRule="auto"/>
              <w:jc w:val="both"/>
              <w:rPr>
                <w:rFonts w:eastAsia="Times New Roman"/>
                <w:color w:val="000000"/>
                <w:lang w:val="es-ES" w:eastAsia="es-MX"/>
              </w:rPr>
            </w:pPr>
            <w:r w:rsidRPr="00BA4A59">
              <w:rPr>
                <w:rFonts w:eastAsia="Times New Roman"/>
                <w:b/>
                <w:color w:val="000000"/>
                <w:lang w:eastAsia="es-MX"/>
              </w:rPr>
              <w:t>2.1 Describir</w:t>
            </w:r>
            <w:r w:rsidR="00690BCC" w:rsidRPr="00BA4A59">
              <w:rPr>
                <w:rFonts w:eastAsia="Times New Roman"/>
                <w:b/>
                <w:color w:val="000000"/>
                <w:lang w:eastAsia="es-MX"/>
              </w:rPr>
              <w:t xml:space="preserve"> los Hallazgos más Relevantes d</w:t>
            </w:r>
            <w:r w:rsidRPr="00BA4A59">
              <w:rPr>
                <w:rFonts w:eastAsia="Times New Roman"/>
                <w:b/>
                <w:color w:val="000000"/>
                <w:lang w:eastAsia="es-MX"/>
              </w:rPr>
              <w:t>e</w:t>
            </w:r>
            <w:r w:rsidR="00690BCC" w:rsidRPr="00BA4A59">
              <w:rPr>
                <w:rFonts w:eastAsia="Times New Roman"/>
                <w:b/>
                <w:color w:val="000000"/>
                <w:lang w:eastAsia="es-MX"/>
              </w:rPr>
              <w:t xml:space="preserve"> </w:t>
            </w:r>
            <w:r w:rsidRPr="00BA4A59">
              <w:rPr>
                <w:rFonts w:eastAsia="Times New Roman"/>
                <w:b/>
                <w:color w:val="000000"/>
                <w:lang w:eastAsia="es-MX"/>
              </w:rPr>
              <w:t>la Evaluación:</w:t>
            </w:r>
            <w:r w:rsidR="00BF25EA">
              <w:rPr>
                <w:rFonts w:eastAsia="Times New Roman"/>
                <w:color w:val="000000"/>
                <w:lang w:eastAsia="es-MX"/>
              </w:rPr>
              <w:t xml:space="preserve"> </w:t>
            </w:r>
            <w:r w:rsidR="00D37BFC" w:rsidRPr="005763DF">
              <w:rPr>
                <w:rFonts w:eastAsia="Times New Roman"/>
                <w:color w:val="000000"/>
                <w:lang w:val="es-ES" w:eastAsia="es-MX"/>
              </w:rPr>
              <w:t xml:space="preserve">Algunos elementos que nos amplían la valoración y advierten de la complejidad de la problemática prevaleciente en las Instituciones de Seguridad Pública los tenemos a partir de la información que generó la Encuesta Institucional </w:t>
            </w:r>
            <w:r w:rsidR="006A768B">
              <w:rPr>
                <w:rFonts w:eastAsia="Times New Roman"/>
                <w:color w:val="000000"/>
                <w:lang w:val="es-ES" w:eastAsia="es-MX"/>
              </w:rPr>
              <w:t>para la evaluación del FASP 2020</w:t>
            </w:r>
            <w:r w:rsidR="00D37BFC" w:rsidRPr="005763DF">
              <w:rPr>
                <w:rFonts w:eastAsia="Times New Roman"/>
                <w:color w:val="000000"/>
                <w:lang w:val="es-ES" w:eastAsia="es-MX"/>
              </w:rPr>
              <w:t>. El estudio consideró como premisa avanzar en la explicación de las capacidades institucionales y los comportamientos organizacionales que determinan el nivel de cumplimiento de su función.</w:t>
            </w:r>
          </w:p>
          <w:p w14:paraId="294E390E" w14:textId="77777777" w:rsidR="005763DF" w:rsidRPr="00517737" w:rsidRDefault="005763DF" w:rsidP="0047370C">
            <w:pPr>
              <w:spacing w:after="0" w:line="240" w:lineRule="auto"/>
              <w:jc w:val="both"/>
              <w:rPr>
                <w:rFonts w:eastAsia="Times New Roman"/>
                <w:color w:val="000000"/>
                <w:sz w:val="12"/>
                <w:szCs w:val="12"/>
                <w:lang w:val="es-ES" w:eastAsia="es-MX"/>
              </w:rPr>
            </w:pPr>
          </w:p>
          <w:p w14:paraId="23757D5F" w14:textId="77777777" w:rsidR="00D37BFC" w:rsidRPr="005763DF" w:rsidRDefault="00D37BFC" w:rsidP="0047370C">
            <w:pPr>
              <w:spacing w:after="0" w:line="240" w:lineRule="auto"/>
              <w:jc w:val="both"/>
              <w:rPr>
                <w:rFonts w:eastAsia="Times New Roman"/>
                <w:color w:val="000000"/>
                <w:lang w:val="es-ES" w:eastAsia="es-MX"/>
              </w:rPr>
            </w:pPr>
            <w:r w:rsidRPr="005763DF">
              <w:rPr>
                <w:rFonts w:eastAsia="Times New Roman"/>
                <w:color w:val="000000"/>
                <w:lang w:val="es-ES" w:eastAsia="es-MX"/>
              </w:rPr>
              <w:t>Nivel de ingresos relativamente competitivos e inequidad entre corporaciones. Basado en el promedio del salario bruto mensual, el cual se ubica entre los $11,2001 a $16,000.00. El 48.23% del total de los entrevistados se ubica en este nivel de ingresos. 30.67% gana menos de $11, 200.00; y 21.10% más de $16,000.00 mensuales.</w:t>
            </w:r>
          </w:p>
          <w:p w14:paraId="38EF8CBA" w14:textId="77777777" w:rsidR="005763DF" w:rsidRPr="00517737" w:rsidRDefault="005763DF" w:rsidP="0047370C">
            <w:pPr>
              <w:spacing w:after="0" w:line="240" w:lineRule="auto"/>
              <w:jc w:val="both"/>
              <w:rPr>
                <w:rFonts w:eastAsia="Times New Roman"/>
                <w:color w:val="000000"/>
                <w:sz w:val="12"/>
                <w:szCs w:val="12"/>
                <w:lang w:val="es-ES" w:eastAsia="es-MX"/>
              </w:rPr>
            </w:pPr>
          </w:p>
          <w:p w14:paraId="21EA411E" w14:textId="2766DE01" w:rsidR="00F46C22" w:rsidRDefault="00D37BFC" w:rsidP="0047370C">
            <w:pPr>
              <w:spacing w:after="0" w:line="240" w:lineRule="auto"/>
              <w:jc w:val="both"/>
              <w:rPr>
                <w:rFonts w:eastAsia="Times New Roman"/>
                <w:color w:val="000000"/>
                <w:lang w:val="es-ES" w:eastAsia="es-MX"/>
              </w:rPr>
            </w:pPr>
            <w:r w:rsidRPr="005763DF">
              <w:rPr>
                <w:rFonts w:eastAsia="Times New Roman"/>
                <w:color w:val="000000"/>
                <w:lang w:val="es-ES" w:eastAsia="es-MX"/>
              </w:rPr>
              <w:t>Prestaciones Insuficientes. Para mantener atractiva la opción profesional de la actividad policial se requiere no solamente salarios competitivos, sino también prestaciones sociales que incentiven la profesión, como becas para los hijos, servicios psicológicos, apoyos educativos, fondos de ahorro, créditos para vivienda, apoyo económico a viudas, seguro de gastos médicos mayores, guardería, entre otros.</w:t>
            </w:r>
          </w:p>
          <w:p w14:paraId="305F938C" w14:textId="5DAC2AC3" w:rsidR="0047370C" w:rsidRPr="00517737" w:rsidRDefault="0047370C" w:rsidP="0047370C">
            <w:pPr>
              <w:spacing w:after="0" w:line="240" w:lineRule="auto"/>
              <w:jc w:val="both"/>
              <w:rPr>
                <w:rFonts w:eastAsia="Times New Roman"/>
                <w:color w:val="000000"/>
                <w:sz w:val="12"/>
                <w:szCs w:val="12"/>
                <w:lang w:val="es-ES" w:eastAsia="es-MX"/>
              </w:rPr>
            </w:pPr>
          </w:p>
          <w:p w14:paraId="4031EADC" w14:textId="22087191" w:rsidR="008B0E9B" w:rsidRPr="00E1388F" w:rsidRDefault="0047370C" w:rsidP="0047370C">
            <w:pPr>
              <w:spacing w:after="0" w:line="240" w:lineRule="auto"/>
              <w:jc w:val="both"/>
              <w:rPr>
                <w:rFonts w:eastAsia="Times New Roman"/>
                <w:color w:val="000000"/>
                <w:lang w:eastAsia="es-MX"/>
              </w:rPr>
            </w:pPr>
            <w:r>
              <w:rPr>
                <w:rFonts w:eastAsia="Times New Roman"/>
                <w:color w:val="000000"/>
                <w:lang w:val="es-ES" w:eastAsia="es-MX"/>
              </w:rPr>
              <w:t>Insuficiente capacitación. Para un personal esencialmente joven y con poca antigüedad en el servicio, parece insuficiente la capacitación medida por el número de cursos en el año, de 1 a 3, y que fue recibida por el 69.6% del total del personal. Además, el 21.3% no ha recibido capacitación desde su ingreso a la corporación</w:t>
            </w:r>
            <w:r w:rsidR="008B0E9B" w:rsidRPr="005763DF">
              <w:rPr>
                <w:rFonts w:asciiTheme="minorHAnsi" w:eastAsiaTheme="minorEastAsia" w:hAnsiTheme="minorHAnsi" w:cs="Arial"/>
                <w:lang w:val="es-ES"/>
              </w:rPr>
              <w:t>.</w:t>
            </w:r>
          </w:p>
        </w:tc>
      </w:tr>
      <w:tr w:rsidR="00690BCC" w:rsidRPr="00E1388F" w14:paraId="061AB8ED" w14:textId="77777777" w:rsidTr="00517737">
        <w:trPr>
          <w:trHeight w:val="379"/>
          <w:tblCellSpacing w:w="20" w:type="dxa"/>
        </w:trPr>
        <w:tc>
          <w:tcPr>
            <w:tcW w:w="9623" w:type="dxa"/>
            <w:shd w:val="clear" w:color="auto" w:fill="D9D9D9" w:themeFill="background1" w:themeFillShade="D9"/>
            <w:hideMark/>
          </w:tcPr>
          <w:p w14:paraId="1B9A361D" w14:textId="77777777" w:rsidR="00E1388F" w:rsidRPr="00BA4A59" w:rsidRDefault="00E1388F" w:rsidP="00517737">
            <w:pPr>
              <w:spacing w:after="0" w:line="240" w:lineRule="auto"/>
              <w:jc w:val="both"/>
              <w:rPr>
                <w:rFonts w:eastAsia="Times New Roman"/>
                <w:b/>
                <w:color w:val="000000"/>
                <w:lang w:eastAsia="es-MX"/>
              </w:rPr>
            </w:pPr>
            <w:r w:rsidRPr="00BA4A59">
              <w:rPr>
                <w:rFonts w:eastAsia="Times New Roman"/>
                <w:b/>
                <w:color w:val="000000"/>
                <w:lang w:eastAsia="es-MX"/>
              </w:rPr>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14:paraId="4186DB2B" w14:textId="77777777" w:rsidTr="00517737">
        <w:trPr>
          <w:trHeight w:val="507"/>
          <w:tblCellSpacing w:w="20" w:type="dxa"/>
        </w:trPr>
        <w:tc>
          <w:tcPr>
            <w:tcW w:w="9623" w:type="dxa"/>
            <w:shd w:val="clear" w:color="000000" w:fill="FFFFFF"/>
            <w:hideMark/>
          </w:tcPr>
          <w:p w14:paraId="4A350D07" w14:textId="77777777" w:rsidR="00F46C22" w:rsidRDefault="000A0543" w:rsidP="000A0543">
            <w:pPr>
              <w:spacing w:after="0" w:line="240" w:lineRule="auto"/>
              <w:rPr>
                <w:rFonts w:eastAsia="Times New Roman"/>
                <w:b/>
                <w:color w:val="000000"/>
                <w:lang w:eastAsia="es-MX"/>
              </w:rPr>
            </w:pPr>
            <w:r w:rsidRPr="00BA4A59">
              <w:rPr>
                <w:rFonts w:eastAsia="Times New Roman"/>
                <w:b/>
                <w:color w:val="000000"/>
                <w:lang w:eastAsia="es-MX"/>
              </w:rPr>
              <w:t xml:space="preserve">2.2.1 Fortalezas: </w:t>
            </w:r>
          </w:p>
          <w:p w14:paraId="6B3B0616" w14:textId="29CD680F" w:rsidR="00F26F49" w:rsidRPr="00F26F49" w:rsidRDefault="00F26F49" w:rsidP="00EF2C27">
            <w:pPr>
              <w:pStyle w:val="Prrafodelista"/>
              <w:numPr>
                <w:ilvl w:val="0"/>
                <w:numId w:val="4"/>
              </w:numPr>
              <w:spacing w:after="0" w:line="240" w:lineRule="auto"/>
              <w:ind w:left="502" w:hanging="284"/>
              <w:jc w:val="both"/>
              <w:rPr>
                <w:rFonts w:eastAsia="Times New Roman"/>
                <w:color w:val="000000"/>
                <w:lang w:eastAsia="es-MX"/>
              </w:rPr>
            </w:pPr>
            <w:r w:rsidRPr="00F26F49">
              <w:rPr>
                <w:rFonts w:eastAsia="Times New Roman"/>
                <w:color w:val="000000"/>
                <w:lang w:eastAsia="es-MX"/>
              </w:rPr>
              <w:t>El sistema de seguridad pública estatal, cuenta con buena coordinación institucional entre los tres órdenes de gobierno, lo que le permite funcionar ininterrumpidamente en todo el estado, permitiendo que se acceda a los servicios que brinda de manera gratuita y oportuna.</w:t>
            </w:r>
          </w:p>
          <w:p w14:paraId="52656D62" w14:textId="77777777" w:rsidR="00F26F49" w:rsidRPr="00F26F49" w:rsidRDefault="00F26F49" w:rsidP="00EF2C27">
            <w:pPr>
              <w:pStyle w:val="Prrafodelista"/>
              <w:numPr>
                <w:ilvl w:val="0"/>
                <w:numId w:val="4"/>
              </w:numPr>
              <w:spacing w:after="0" w:line="240" w:lineRule="auto"/>
              <w:ind w:left="502" w:hanging="284"/>
              <w:jc w:val="both"/>
              <w:rPr>
                <w:rFonts w:eastAsia="Times New Roman"/>
                <w:color w:val="000000"/>
                <w:lang w:eastAsia="es-MX"/>
              </w:rPr>
            </w:pPr>
            <w:r w:rsidRPr="00F26F49">
              <w:rPr>
                <w:rFonts w:eastAsia="Times New Roman"/>
                <w:color w:val="000000"/>
                <w:lang w:eastAsia="es-MX"/>
              </w:rPr>
              <w:t>Se cuenta con la infraestructura requerida para satisfacer las necesidades derivadas de los programas para el reclutamiento de aspirantes a formar parte del Estado de Fuerza, así como la formación, desarrollo, evaluación y superación del personal activo de las Instituciones de Seguridad Pública.</w:t>
            </w:r>
          </w:p>
          <w:p w14:paraId="31707009" w14:textId="182217F4" w:rsidR="000A0543" w:rsidRPr="00F26F49" w:rsidRDefault="00F26F49" w:rsidP="00EF2C27">
            <w:pPr>
              <w:pStyle w:val="Prrafodelista"/>
              <w:numPr>
                <w:ilvl w:val="0"/>
                <w:numId w:val="4"/>
              </w:numPr>
              <w:spacing w:after="0" w:line="240" w:lineRule="auto"/>
              <w:ind w:left="502" w:hanging="284"/>
              <w:jc w:val="both"/>
              <w:rPr>
                <w:rFonts w:eastAsia="Times New Roman"/>
                <w:color w:val="000000"/>
                <w:lang w:eastAsia="es-MX"/>
              </w:rPr>
            </w:pPr>
            <w:r w:rsidRPr="00F26F49">
              <w:rPr>
                <w:rFonts w:eastAsia="Times New Roman"/>
                <w:color w:val="000000"/>
                <w:lang w:eastAsia="es-MX"/>
              </w:rPr>
              <w:t>Mecanismos establecidos de cooperación para el intercambio de información, que permite el óptimo cumplimiento de las atribuciones correspondientes en conformidad con las Leyes aplicables, además de brindar información y asistencia a las diferentes Comisiones, Consejos, Instituciones u Organismos Gubernamentales con la finalidad de brindar un mejor servicio de atención a víctimas.</w:t>
            </w:r>
          </w:p>
        </w:tc>
      </w:tr>
      <w:tr w:rsidR="000A0543" w:rsidRPr="00E1388F" w14:paraId="21B855BB" w14:textId="77777777" w:rsidTr="00517737">
        <w:trPr>
          <w:trHeight w:val="555"/>
          <w:tblCellSpacing w:w="20" w:type="dxa"/>
        </w:trPr>
        <w:tc>
          <w:tcPr>
            <w:tcW w:w="9623" w:type="dxa"/>
            <w:shd w:val="clear" w:color="000000" w:fill="FFFFFF"/>
          </w:tcPr>
          <w:p w14:paraId="6D92C88D" w14:textId="77777777" w:rsidR="000A0543" w:rsidRDefault="000A0543" w:rsidP="00F46C22">
            <w:pPr>
              <w:spacing w:after="0" w:line="240" w:lineRule="auto"/>
              <w:rPr>
                <w:rFonts w:eastAsia="Times New Roman"/>
                <w:color w:val="000000"/>
                <w:lang w:eastAsia="es-MX"/>
              </w:rPr>
            </w:pPr>
            <w:r w:rsidRPr="00BA4A59">
              <w:rPr>
                <w:rFonts w:eastAsia="Times New Roman"/>
                <w:b/>
                <w:color w:val="000000"/>
                <w:lang w:eastAsia="es-MX"/>
              </w:rPr>
              <w:t xml:space="preserve">2.2.2 Oportunidades: </w:t>
            </w:r>
          </w:p>
          <w:p w14:paraId="3B9839BB" w14:textId="77777777" w:rsidR="00F46C22" w:rsidRPr="00F26F49" w:rsidRDefault="006248E1" w:rsidP="00EF2C27">
            <w:pPr>
              <w:pStyle w:val="Prrafodelista"/>
              <w:numPr>
                <w:ilvl w:val="0"/>
                <w:numId w:val="5"/>
              </w:numPr>
              <w:spacing w:after="0" w:line="240" w:lineRule="auto"/>
              <w:ind w:left="502" w:hanging="284"/>
              <w:jc w:val="both"/>
              <w:rPr>
                <w:rFonts w:eastAsia="Times New Roman"/>
                <w:color w:val="000000"/>
                <w:lang w:val="es-ES" w:eastAsia="es-MX"/>
              </w:rPr>
            </w:pPr>
            <w:r w:rsidRPr="00F26F49">
              <w:rPr>
                <w:rFonts w:eastAsia="Times New Roman"/>
                <w:color w:val="000000"/>
                <w:lang w:val="es-ES" w:eastAsia="es-MX"/>
              </w:rPr>
              <w:t xml:space="preserve">El surgimiento de nuevas tecnologías en telecomunicaciones, que permitan mejorar las funciones o </w:t>
            </w:r>
            <w:r w:rsidRPr="00F26F49">
              <w:rPr>
                <w:rFonts w:eastAsia="Times New Roman"/>
                <w:color w:val="000000"/>
                <w:lang w:val="es-ES" w:eastAsia="es-MX"/>
              </w:rPr>
              <w:lastRenderedPageBreak/>
              <w:t>desempeño de las Instituciones de Seguridad Pública.</w:t>
            </w:r>
          </w:p>
          <w:p w14:paraId="532B9C3F" w14:textId="77777777" w:rsidR="00F26F49" w:rsidRPr="00F26F49" w:rsidRDefault="00F26F49" w:rsidP="00EF2C27">
            <w:pPr>
              <w:pStyle w:val="Prrafodelista"/>
              <w:numPr>
                <w:ilvl w:val="0"/>
                <w:numId w:val="5"/>
              </w:numPr>
              <w:spacing w:after="0" w:line="240" w:lineRule="auto"/>
              <w:ind w:left="502" w:hanging="284"/>
              <w:jc w:val="both"/>
              <w:rPr>
                <w:rFonts w:eastAsia="Times New Roman"/>
                <w:color w:val="000000"/>
                <w:lang w:eastAsia="es-MX"/>
              </w:rPr>
            </w:pPr>
            <w:r w:rsidRPr="00F26F49">
              <w:rPr>
                <w:rFonts w:eastAsia="Times New Roman"/>
                <w:color w:val="000000"/>
                <w:lang w:eastAsia="es-MX"/>
              </w:rPr>
              <w:t>La creación de Unidades Especializadas como la Policía de Caminos para la prevención y combate de delitos, así como la implementación del Nuevo Modelo de Policía y Justicia Cívica.</w:t>
            </w:r>
          </w:p>
          <w:p w14:paraId="4B160423" w14:textId="77777777" w:rsidR="00F26F49" w:rsidRPr="00F26F49" w:rsidRDefault="00F26F49" w:rsidP="00EF2C27">
            <w:pPr>
              <w:pStyle w:val="Prrafodelista"/>
              <w:numPr>
                <w:ilvl w:val="0"/>
                <w:numId w:val="5"/>
              </w:numPr>
              <w:spacing w:after="0" w:line="240" w:lineRule="auto"/>
              <w:ind w:left="502" w:hanging="284"/>
              <w:jc w:val="both"/>
              <w:rPr>
                <w:rFonts w:eastAsia="Times New Roman"/>
                <w:color w:val="000000"/>
                <w:lang w:eastAsia="es-MX"/>
              </w:rPr>
            </w:pPr>
            <w:r w:rsidRPr="00F26F49">
              <w:rPr>
                <w:rFonts w:eastAsia="Times New Roman"/>
                <w:color w:val="000000"/>
                <w:lang w:eastAsia="es-MX"/>
              </w:rPr>
              <w:t>Formulación e implementación de políticas o sustento legal integral en materia de prevención social del delito, para el desarrollo de programas y estrategias de combate a las causas que generan la comisión de delitos y conductas antisociales, además de acciones para fomentar en la sociedad valores culturales y cívicos, que induzcan el respeto a la legalidad y a la protección de las víctimas.</w:t>
            </w:r>
          </w:p>
          <w:p w14:paraId="3324B173" w14:textId="26A99818" w:rsidR="00F26F49" w:rsidRPr="00F26F49" w:rsidRDefault="00F26F49" w:rsidP="00EF2C27">
            <w:pPr>
              <w:pStyle w:val="Prrafodelista"/>
              <w:numPr>
                <w:ilvl w:val="0"/>
                <w:numId w:val="5"/>
              </w:numPr>
              <w:spacing w:after="0" w:line="240" w:lineRule="auto"/>
              <w:ind w:left="502" w:hanging="284"/>
              <w:jc w:val="both"/>
              <w:rPr>
                <w:rFonts w:eastAsia="Times New Roman"/>
                <w:color w:val="000000"/>
                <w:lang w:eastAsia="es-MX"/>
              </w:rPr>
            </w:pPr>
            <w:r w:rsidRPr="00F26F49">
              <w:rPr>
                <w:rFonts w:eastAsia="Times New Roman"/>
                <w:color w:val="000000"/>
                <w:lang w:eastAsia="es-MX"/>
              </w:rPr>
              <w:t>Incremento en la participación y gestión en los diferentes programas federales, con la finalidad de fortalecer presupuestariamente la operatividad de la Fiscalía General del Estado, que permitan brindar una mayor cobertura de los servicios que actualmente se ofrecen.</w:t>
            </w:r>
          </w:p>
        </w:tc>
      </w:tr>
      <w:tr w:rsidR="000A0543" w:rsidRPr="00E1388F" w14:paraId="04C6B5D0" w14:textId="77777777" w:rsidTr="00F26F49">
        <w:trPr>
          <w:trHeight w:val="2251"/>
          <w:tblCellSpacing w:w="20" w:type="dxa"/>
        </w:trPr>
        <w:tc>
          <w:tcPr>
            <w:tcW w:w="9623" w:type="dxa"/>
            <w:shd w:val="clear" w:color="000000" w:fill="FFFFFF"/>
          </w:tcPr>
          <w:p w14:paraId="37BDAF51" w14:textId="77777777" w:rsidR="000A0543" w:rsidRDefault="000A0543" w:rsidP="00F46C22">
            <w:pPr>
              <w:spacing w:after="0" w:line="240" w:lineRule="auto"/>
              <w:rPr>
                <w:rFonts w:eastAsia="Times New Roman"/>
                <w:color w:val="000000"/>
                <w:lang w:eastAsia="es-MX"/>
              </w:rPr>
            </w:pPr>
            <w:r w:rsidRPr="00BA4A59">
              <w:rPr>
                <w:rFonts w:eastAsia="Times New Roman"/>
                <w:b/>
                <w:color w:val="000000"/>
                <w:lang w:eastAsia="es-MX"/>
              </w:rPr>
              <w:lastRenderedPageBreak/>
              <w:t>2.2.3 Debilidades:</w:t>
            </w:r>
            <w:r>
              <w:rPr>
                <w:rFonts w:eastAsia="Times New Roman"/>
                <w:color w:val="000000"/>
                <w:lang w:eastAsia="es-MX"/>
              </w:rPr>
              <w:t xml:space="preserve"> </w:t>
            </w:r>
          </w:p>
          <w:p w14:paraId="3F520D1B" w14:textId="77777777" w:rsidR="00F26F49" w:rsidRPr="00F26F49" w:rsidRDefault="00F26F49" w:rsidP="00EF2C27">
            <w:pPr>
              <w:pStyle w:val="Prrafodelista"/>
              <w:numPr>
                <w:ilvl w:val="0"/>
                <w:numId w:val="3"/>
              </w:numPr>
              <w:spacing w:after="0" w:line="240" w:lineRule="auto"/>
              <w:ind w:left="502" w:hanging="284"/>
              <w:rPr>
                <w:rFonts w:eastAsia="Times New Roman"/>
                <w:color w:val="000000"/>
                <w:lang w:val="es-ES" w:eastAsia="es-MX"/>
              </w:rPr>
            </w:pPr>
            <w:r w:rsidRPr="00F26F49">
              <w:rPr>
                <w:rFonts w:eastAsia="Times New Roman"/>
                <w:color w:val="000000"/>
                <w:lang w:val="es-ES" w:eastAsia="es-MX"/>
              </w:rPr>
              <w:t>Se cuenta con un Estado de Fuerza insuficiente en proporción a la población del estado de Sinaloa.</w:t>
            </w:r>
          </w:p>
          <w:p w14:paraId="49CDA158" w14:textId="77777777" w:rsidR="00F26F49" w:rsidRPr="00F26F49" w:rsidRDefault="00F26F49" w:rsidP="00EF2C27">
            <w:pPr>
              <w:pStyle w:val="Prrafodelista"/>
              <w:numPr>
                <w:ilvl w:val="0"/>
                <w:numId w:val="3"/>
              </w:numPr>
              <w:spacing w:after="0" w:line="240" w:lineRule="auto"/>
              <w:ind w:left="502" w:hanging="284"/>
              <w:rPr>
                <w:rFonts w:eastAsia="Times New Roman"/>
                <w:color w:val="000000"/>
                <w:lang w:val="es-ES" w:eastAsia="es-MX"/>
              </w:rPr>
            </w:pPr>
            <w:r w:rsidRPr="00F26F49">
              <w:rPr>
                <w:rFonts w:eastAsia="Times New Roman"/>
                <w:color w:val="000000"/>
                <w:lang w:val="es-ES" w:eastAsia="es-MX"/>
              </w:rPr>
              <w:t>Los elevados costos para sostener o mejorar los recursos materiales y financieros en materia de seguridad pública, generan presupuestos insuficientes, lo que dificulta solventar ciertas necesidades o atender aspectos técnico-operativos.</w:t>
            </w:r>
          </w:p>
          <w:p w14:paraId="70B39351" w14:textId="77777777" w:rsidR="00F26F49" w:rsidRPr="00F26F49" w:rsidRDefault="00F26F49" w:rsidP="00EF2C27">
            <w:pPr>
              <w:pStyle w:val="Prrafodelista"/>
              <w:numPr>
                <w:ilvl w:val="0"/>
                <w:numId w:val="3"/>
              </w:numPr>
              <w:spacing w:after="0" w:line="240" w:lineRule="auto"/>
              <w:ind w:left="502" w:hanging="284"/>
              <w:rPr>
                <w:rFonts w:eastAsia="Times New Roman"/>
                <w:color w:val="000000"/>
                <w:lang w:val="es-ES" w:eastAsia="es-MX"/>
              </w:rPr>
            </w:pPr>
            <w:r w:rsidRPr="00F26F49">
              <w:rPr>
                <w:rFonts w:eastAsia="Times New Roman"/>
                <w:color w:val="000000"/>
                <w:lang w:val="es-ES" w:eastAsia="es-MX"/>
              </w:rPr>
              <w:t>Parque Vehicular en regular y mal estado.</w:t>
            </w:r>
          </w:p>
          <w:p w14:paraId="34278F46" w14:textId="77777777" w:rsidR="00F26F49" w:rsidRPr="00F26F49" w:rsidRDefault="00F26F49" w:rsidP="00EF2C27">
            <w:pPr>
              <w:pStyle w:val="Prrafodelista"/>
              <w:numPr>
                <w:ilvl w:val="0"/>
                <w:numId w:val="3"/>
              </w:numPr>
              <w:spacing w:after="0" w:line="240" w:lineRule="auto"/>
              <w:ind w:left="502" w:hanging="284"/>
              <w:rPr>
                <w:rFonts w:eastAsia="Times New Roman"/>
                <w:color w:val="000000"/>
                <w:lang w:val="es-ES" w:eastAsia="es-MX"/>
              </w:rPr>
            </w:pPr>
            <w:r w:rsidRPr="00F26F49">
              <w:rPr>
                <w:rFonts w:eastAsia="Times New Roman"/>
                <w:color w:val="000000"/>
                <w:lang w:val="es-ES" w:eastAsia="es-MX"/>
              </w:rPr>
              <w:t>Infraestructura inadecuada y obsoleta en centros penitenciarios, lo que propicia que no se cumpla el objetivo de readaptación de personas, para la convivencia pacífica con sus semejantes una vez cumplida su condena.</w:t>
            </w:r>
          </w:p>
          <w:p w14:paraId="02FB7BBD" w14:textId="6CB04C37" w:rsidR="00F46C22" w:rsidRPr="00F26F49" w:rsidRDefault="00F26F49" w:rsidP="00EF2C27">
            <w:pPr>
              <w:pStyle w:val="Prrafodelista"/>
              <w:numPr>
                <w:ilvl w:val="0"/>
                <w:numId w:val="3"/>
              </w:numPr>
              <w:spacing w:after="0" w:line="240" w:lineRule="auto"/>
              <w:ind w:left="502" w:hanging="284"/>
              <w:rPr>
                <w:rFonts w:eastAsia="Times New Roman"/>
                <w:color w:val="000000"/>
                <w:lang w:eastAsia="es-MX"/>
              </w:rPr>
            </w:pPr>
            <w:r w:rsidRPr="00F26F49">
              <w:rPr>
                <w:rFonts w:eastAsia="Times New Roman"/>
                <w:color w:val="000000"/>
                <w:lang w:val="es-ES" w:eastAsia="es-MX"/>
              </w:rPr>
              <w:t>Debido a la complejidad del sistema y los tiempos de vigencia de las diferentes evaluaciones que certifican al personal de seguridad pública, aunado a cierta desinformación de las responsabilidades, ocasiona una baja del Estado de Fuerza en la acreditación acorde a los lineamientos que marca el Centro Nacional de Certificación y Acreditación.</w:t>
            </w:r>
          </w:p>
        </w:tc>
      </w:tr>
      <w:tr w:rsidR="000A0543" w:rsidRPr="00E1388F" w14:paraId="639DF2D6" w14:textId="77777777" w:rsidTr="00517737">
        <w:trPr>
          <w:trHeight w:val="660"/>
          <w:tblCellSpacing w:w="20" w:type="dxa"/>
        </w:trPr>
        <w:tc>
          <w:tcPr>
            <w:tcW w:w="9623" w:type="dxa"/>
            <w:shd w:val="clear" w:color="000000" w:fill="FFFFFF"/>
            <w:hideMark/>
          </w:tcPr>
          <w:p w14:paraId="2E61DC73" w14:textId="77777777" w:rsidR="00537028" w:rsidRDefault="000A0543" w:rsidP="00537028">
            <w:pPr>
              <w:spacing w:after="0" w:line="240" w:lineRule="auto"/>
              <w:rPr>
                <w:rFonts w:eastAsia="Times New Roman"/>
                <w:b/>
                <w:color w:val="000000"/>
                <w:lang w:eastAsia="es-MX"/>
              </w:rPr>
            </w:pPr>
            <w:r w:rsidRPr="00BA4A59">
              <w:rPr>
                <w:rFonts w:eastAsia="Times New Roman"/>
                <w:b/>
                <w:color w:val="000000"/>
                <w:lang w:eastAsia="es-MX"/>
              </w:rPr>
              <w:t>2.2.4 Amenazas:</w:t>
            </w:r>
          </w:p>
          <w:p w14:paraId="150ED0E3" w14:textId="77777777" w:rsidR="00F26F49" w:rsidRPr="00F26F49" w:rsidRDefault="00F26F49" w:rsidP="00EF2C27">
            <w:pPr>
              <w:pStyle w:val="Prrafodelista"/>
              <w:numPr>
                <w:ilvl w:val="0"/>
                <w:numId w:val="6"/>
              </w:numPr>
              <w:spacing w:after="0" w:line="240" w:lineRule="auto"/>
              <w:ind w:left="502" w:hanging="284"/>
              <w:jc w:val="both"/>
              <w:rPr>
                <w:rFonts w:eastAsia="Times New Roman"/>
                <w:color w:val="000000"/>
                <w:lang w:eastAsia="es-MX"/>
              </w:rPr>
            </w:pPr>
            <w:r w:rsidRPr="00F26F49">
              <w:rPr>
                <w:rFonts w:eastAsia="Times New Roman"/>
                <w:color w:val="000000"/>
                <w:lang w:eastAsia="es-MX"/>
              </w:rPr>
              <w:t>Falta de personas interesadas en pertenecer a la Policía Estatal y Custodio Penitenciarios.</w:t>
            </w:r>
          </w:p>
          <w:p w14:paraId="74703F9F" w14:textId="77777777" w:rsidR="00F26F49" w:rsidRPr="00F26F49" w:rsidRDefault="00F26F49" w:rsidP="00EF2C27">
            <w:pPr>
              <w:pStyle w:val="Prrafodelista"/>
              <w:numPr>
                <w:ilvl w:val="0"/>
                <w:numId w:val="6"/>
              </w:numPr>
              <w:spacing w:after="0" w:line="240" w:lineRule="auto"/>
              <w:ind w:left="502" w:hanging="284"/>
              <w:jc w:val="both"/>
              <w:rPr>
                <w:rFonts w:eastAsia="Times New Roman"/>
                <w:color w:val="000000"/>
                <w:lang w:eastAsia="es-MX"/>
              </w:rPr>
            </w:pPr>
            <w:r w:rsidRPr="00F26F49">
              <w:rPr>
                <w:rFonts w:eastAsia="Times New Roman"/>
                <w:color w:val="000000"/>
                <w:lang w:eastAsia="es-MX"/>
              </w:rPr>
              <w:t>Insuficiencia presupuestaria en relación a los recursos asignados para asegurar la continuidad operativa del personal activo de seguridad pública, lo que ocasionaría la reducción de proyectos estratégicos en combate a la delincuencia, deficiencia administrativa por insuficiencia de espacios para el resguardo y manejo de la información o expedientes, carencias en las condiciones laborales del personal incrementando la rotación y desarticulación de cuerpos policiales, deficiencia en los servicios de protección y atención, así como todos los esfuerzos logrados en materia de erradicación de delitos y conductas antisociales.</w:t>
            </w:r>
          </w:p>
          <w:p w14:paraId="3C8C0B65" w14:textId="1145A895" w:rsidR="00F26F49" w:rsidRPr="00F26F49" w:rsidRDefault="00F26F49" w:rsidP="00EF2C27">
            <w:pPr>
              <w:pStyle w:val="Prrafodelista"/>
              <w:numPr>
                <w:ilvl w:val="0"/>
                <w:numId w:val="6"/>
              </w:numPr>
              <w:spacing w:after="0" w:line="240" w:lineRule="auto"/>
              <w:ind w:left="502" w:hanging="284"/>
              <w:jc w:val="both"/>
              <w:rPr>
                <w:rFonts w:eastAsia="Times New Roman"/>
                <w:color w:val="000000"/>
                <w:lang w:eastAsia="es-MX"/>
              </w:rPr>
            </w:pPr>
            <w:r w:rsidRPr="00F26F49">
              <w:rPr>
                <w:rFonts w:eastAsia="Times New Roman"/>
                <w:color w:val="000000"/>
                <w:lang w:eastAsia="es-MX"/>
              </w:rPr>
              <w:t>Crecimiento a nivel nacional en la incidencia de la comisión de los delitos relacionados con la privación de la libertad de manera ilegal, aunado a la falta de infraestructura adecuada y recursos necesarios para la atención integral de víctimas. Como dato adicional, existe temor por parte de la sociedad a denunciar un delito de alto impacto.</w:t>
            </w:r>
          </w:p>
        </w:tc>
      </w:tr>
    </w:tbl>
    <w:p w14:paraId="3D79F115" w14:textId="273A87AA" w:rsidR="00EF2C27" w:rsidRDefault="00EF2C27" w:rsidP="002272AA">
      <w:pPr>
        <w:spacing w:after="0"/>
      </w:pPr>
    </w:p>
    <w:p w14:paraId="0B735A41" w14:textId="77777777" w:rsidR="00EF2C27" w:rsidRDefault="00EF2C27">
      <w:pPr>
        <w:spacing w:after="0" w:line="240" w:lineRule="auto"/>
      </w:pPr>
      <w:r>
        <w:br w:type="page"/>
      </w:r>
    </w:p>
    <w:tbl>
      <w:tblPr>
        <w:tblW w:w="1018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218"/>
      </w:tblGrid>
      <w:tr w:rsidR="00690BCC" w:rsidRPr="00E1388F" w14:paraId="67490DBC" w14:textId="77777777" w:rsidTr="00EF2C27">
        <w:trPr>
          <w:trHeight w:val="300"/>
          <w:tblCellSpacing w:w="20" w:type="dxa"/>
        </w:trPr>
        <w:tc>
          <w:tcPr>
            <w:tcW w:w="10108" w:type="dxa"/>
            <w:shd w:val="clear" w:color="000000" w:fill="8B1D31"/>
            <w:noWrap/>
            <w:vAlign w:val="center"/>
            <w:hideMark/>
          </w:tcPr>
          <w:p w14:paraId="0A227757"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lastRenderedPageBreak/>
              <w:t>3. Conclusiones y Recomendaciones de la Evaluación</w:t>
            </w:r>
          </w:p>
        </w:tc>
      </w:tr>
      <w:tr w:rsidR="00690BCC" w:rsidRPr="00E1388F" w14:paraId="1D5D6831" w14:textId="77777777" w:rsidTr="00EF2C27">
        <w:trPr>
          <w:trHeight w:val="203"/>
          <w:tblCellSpacing w:w="20" w:type="dxa"/>
        </w:trPr>
        <w:tc>
          <w:tcPr>
            <w:tcW w:w="10108" w:type="dxa"/>
            <w:tcBorders>
              <w:bottom w:val="outset" w:sz="6" w:space="0" w:color="auto"/>
            </w:tcBorders>
            <w:shd w:val="clear" w:color="auto" w:fill="D9D9D9" w:themeFill="background1" w:themeFillShade="D9"/>
            <w:noWrap/>
            <w:hideMark/>
          </w:tcPr>
          <w:p w14:paraId="4F702C39" w14:textId="0D5DF291" w:rsidR="00F46C22" w:rsidRPr="0083169C" w:rsidRDefault="00E1388F" w:rsidP="0083169C">
            <w:pPr>
              <w:spacing w:after="0" w:line="240" w:lineRule="auto"/>
              <w:rPr>
                <w:rFonts w:eastAsia="Times New Roman"/>
                <w:b/>
                <w:color w:val="000000"/>
                <w:lang w:eastAsia="es-MX"/>
              </w:rPr>
            </w:pPr>
            <w:r w:rsidRPr="0083169C">
              <w:rPr>
                <w:rFonts w:eastAsia="Times New Roman"/>
                <w:b/>
                <w:color w:val="000000"/>
                <w:lang w:eastAsia="es-MX"/>
              </w:rPr>
              <w:t xml:space="preserve">3.1 Describir </w:t>
            </w:r>
            <w:r w:rsidR="00BA4A59" w:rsidRPr="0083169C">
              <w:rPr>
                <w:rFonts w:eastAsia="Times New Roman"/>
                <w:b/>
                <w:color w:val="000000"/>
                <w:lang w:eastAsia="es-MX"/>
              </w:rPr>
              <w:t>b</w:t>
            </w:r>
            <w:r w:rsidRPr="0083169C">
              <w:rPr>
                <w:rFonts w:eastAsia="Times New Roman"/>
                <w:b/>
                <w:color w:val="000000"/>
                <w:lang w:eastAsia="es-MX"/>
              </w:rPr>
              <w:t xml:space="preserve">revemente las </w:t>
            </w:r>
            <w:r w:rsidR="00BA4A59" w:rsidRPr="0083169C">
              <w:rPr>
                <w:rFonts w:eastAsia="Times New Roman"/>
                <w:b/>
                <w:color w:val="000000"/>
                <w:lang w:eastAsia="es-MX"/>
              </w:rPr>
              <w:t>c</w:t>
            </w:r>
            <w:r w:rsidRPr="0083169C">
              <w:rPr>
                <w:rFonts w:eastAsia="Times New Roman"/>
                <w:b/>
                <w:color w:val="000000"/>
                <w:lang w:eastAsia="es-MX"/>
              </w:rPr>
              <w:t xml:space="preserve">onclusiones de la </w:t>
            </w:r>
            <w:r w:rsidR="00BA4A59" w:rsidRPr="0083169C">
              <w:rPr>
                <w:rFonts w:eastAsia="Times New Roman"/>
                <w:b/>
                <w:color w:val="000000"/>
                <w:lang w:eastAsia="es-MX"/>
              </w:rPr>
              <w:t>e</w:t>
            </w:r>
            <w:r w:rsidRPr="0083169C">
              <w:rPr>
                <w:rFonts w:eastAsia="Times New Roman"/>
                <w:b/>
                <w:color w:val="000000"/>
                <w:lang w:eastAsia="es-MX"/>
              </w:rPr>
              <w:t>valuación:</w:t>
            </w:r>
            <w:r w:rsidR="00BF25EA" w:rsidRPr="0083169C">
              <w:rPr>
                <w:rFonts w:eastAsia="Times New Roman"/>
                <w:b/>
                <w:color w:val="000000"/>
                <w:lang w:eastAsia="es-MX"/>
              </w:rPr>
              <w:t xml:space="preserve"> </w:t>
            </w:r>
          </w:p>
        </w:tc>
      </w:tr>
      <w:tr w:rsidR="0083169C" w:rsidRPr="00E1388F" w14:paraId="033CBD51" w14:textId="77777777" w:rsidTr="00EF2C27">
        <w:trPr>
          <w:trHeight w:val="1943"/>
          <w:tblCellSpacing w:w="20" w:type="dxa"/>
        </w:trPr>
        <w:tc>
          <w:tcPr>
            <w:tcW w:w="10108" w:type="dxa"/>
            <w:tcBorders>
              <w:top w:val="outset" w:sz="6" w:space="0" w:color="auto"/>
            </w:tcBorders>
            <w:shd w:val="clear" w:color="000000" w:fill="FFFFFF"/>
            <w:noWrap/>
          </w:tcPr>
          <w:p w14:paraId="2548C204" w14:textId="77777777" w:rsidR="0083169C" w:rsidRPr="00FB4704" w:rsidRDefault="0083169C" w:rsidP="0083169C">
            <w:pPr>
              <w:spacing w:after="0" w:line="240" w:lineRule="auto"/>
              <w:jc w:val="both"/>
              <w:rPr>
                <w:rFonts w:eastAsia="Times New Roman"/>
                <w:color w:val="000000"/>
                <w:lang w:eastAsia="es-MX"/>
              </w:rPr>
            </w:pPr>
            <w:r>
              <w:rPr>
                <w:rFonts w:eastAsia="Times New Roman"/>
                <w:color w:val="000000"/>
                <w:lang w:eastAsia="es-MX"/>
              </w:rPr>
              <w:t>E</w:t>
            </w:r>
            <w:r w:rsidRPr="00FB4704">
              <w:rPr>
                <w:rFonts w:eastAsia="Times New Roman"/>
                <w:color w:val="000000"/>
                <w:lang w:eastAsia="es-MX"/>
              </w:rPr>
              <w:t>l ejercicio de los recursos convenidos para el FASP presentó</w:t>
            </w:r>
            <w:r>
              <w:rPr>
                <w:rFonts w:eastAsia="Times New Roman"/>
                <w:color w:val="000000"/>
                <w:lang w:eastAsia="es-MX"/>
              </w:rPr>
              <w:t xml:space="preserve"> un grado de avance de un 99% al 31 de diciembre de 2020</w:t>
            </w:r>
            <w:r w:rsidRPr="00FB4704">
              <w:rPr>
                <w:rFonts w:eastAsia="Times New Roman"/>
                <w:color w:val="000000"/>
                <w:lang w:eastAsia="es-MX"/>
              </w:rPr>
              <w:t xml:space="preserve">, quedando </w:t>
            </w:r>
            <w:r>
              <w:rPr>
                <w:rFonts w:eastAsia="Times New Roman"/>
                <w:color w:val="000000"/>
                <w:lang w:eastAsia="es-MX"/>
              </w:rPr>
              <w:t>pendiente por ejercer un 1%</w:t>
            </w:r>
            <w:r w:rsidRPr="00FB4704">
              <w:rPr>
                <w:rFonts w:eastAsia="Times New Roman"/>
                <w:color w:val="000000"/>
                <w:lang w:eastAsia="es-MX"/>
              </w:rPr>
              <w:t>; sin embargo, es importante mencionar que el presupuesto ejercido no contempla lo referente a recursos comprometidos a la fecha de corte, aunque éstos propiamente ya están devengados.</w:t>
            </w:r>
          </w:p>
          <w:p w14:paraId="7347E1D3" w14:textId="77777777" w:rsidR="0083169C" w:rsidRDefault="0083169C" w:rsidP="0083169C">
            <w:pPr>
              <w:spacing w:after="0" w:line="240" w:lineRule="auto"/>
              <w:jc w:val="both"/>
              <w:rPr>
                <w:rFonts w:eastAsia="Times New Roman"/>
                <w:color w:val="000000"/>
                <w:lang w:eastAsia="es-MX"/>
              </w:rPr>
            </w:pPr>
          </w:p>
          <w:p w14:paraId="548EBEDB" w14:textId="27AF5BB5" w:rsidR="0083169C" w:rsidRPr="00E1388F" w:rsidRDefault="0083169C" w:rsidP="0083169C">
            <w:pPr>
              <w:spacing w:after="0" w:line="240" w:lineRule="auto"/>
              <w:jc w:val="both"/>
              <w:rPr>
                <w:rFonts w:eastAsia="Times New Roman"/>
                <w:color w:val="000000"/>
                <w:lang w:eastAsia="es-MX"/>
              </w:rPr>
            </w:pPr>
            <w:r w:rsidRPr="00FB4704">
              <w:rPr>
                <w:rFonts w:eastAsia="Times New Roman"/>
                <w:color w:val="000000"/>
                <w:lang w:eastAsia="es-MX"/>
              </w:rPr>
              <w:t>Es importante hacer mención que los indicadores establecidos en la MIR presentaron un importante grado de avance, a pesar de que algunos de ellos no alcanzaron la meta establecida inicialmente.</w:t>
            </w:r>
          </w:p>
        </w:tc>
      </w:tr>
      <w:tr w:rsidR="00690BCC" w:rsidRPr="00E1388F" w14:paraId="08EEE7A6" w14:textId="77777777" w:rsidTr="00EF2C27">
        <w:trPr>
          <w:trHeight w:val="69"/>
          <w:tblCellSpacing w:w="20" w:type="dxa"/>
        </w:trPr>
        <w:tc>
          <w:tcPr>
            <w:tcW w:w="10108" w:type="dxa"/>
            <w:shd w:val="clear" w:color="auto" w:fill="D9D9D9" w:themeFill="background1" w:themeFillShade="D9"/>
            <w:noWrap/>
            <w:hideMark/>
          </w:tcPr>
          <w:p w14:paraId="2372DF58" w14:textId="0F41999E" w:rsidR="00E1388F" w:rsidRPr="002272AA" w:rsidRDefault="00E1388F" w:rsidP="0083169C">
            <w:pPr>
              <w:spacing w:after="0" w:line="240" w:lineRule="auto"/>
              <w:rPr>
                <w:rFonts w:eastAsia="Times New Roman"/>
                <w:b/>
                <w:color w:val="000000"/>
                <w:lang w:eastAsia="es-MX"/>
              </w:rPr>
            </w:pPr>
            <w:r w:rsidRPr="002272AA">
              <w:rPr>
                <w:rFonts w:eastAsia="Times New Roman"/>
                <w:b/>
                <w:color w:val="000000"/>
                <w:lang w:eastAsia="es-MX"/>
              </w:rPr>
              <w:t>3.</w:t>
            </w:r>
            <w:r w:rsidRPr="002272AA">
              <w:rPr>
                <w:rFonts w:eastAsia="Times New Roman"/>
                <w:b/>
                <w:color w:val="000000"/>
                <w:shd w:val="clear" w:color="auto" w:fill="D9D9D9" w:themeFill="background1" w:themeFillShade="D9"/>
                <w:lang w:eastAsia="es-MX"/>
              </w:rPr>
              <w:t xml:space="preserve">2 Describir las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 xml:space="preserve">ecomendaciones de </w:t>
            </w:r>
            <w:r w:rsidR="00BA4A59" w:rsidRPr="002272AA">
              <w:rPr>
                <w:rFonts w:eastAsia="Times New Roman"/>
                <w:b/>
                <w:color w:val="000000"/>
                <w:shd w:val="clear" w:color="auto" w:fill="D9D9D9" w:themeFill="background1" w:themeFillShade="D9"/>
                <w:lang w:eastAsia="es-MX"/>
              </w:rPr>
              <w:t>a</w:t>
            </w:r>
            <w:r w:rsidRPr="002272AA">
              <w:rPr>
                <w:rFonts w:eastAsia="Times New Roman"/>
                <w:b/>
                <w:color w:val="000000"/>
                <w:shd w:val="clear" w:color="auto" w:fill="D9D9D9" w:themeFill="background1" w:themeFillShade="D9"/>
                <w:lang w:eastAsia="es-MX"/>
              </w:rPr>
              <w:t xml:space="preserve">cuerdo a su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elevancia:</w:t>
            </w:r>
          </w:p>
        </w:tc>
      </w:tr>
      <w:tr w:rsidR="00690BCC" w:rsidRPr="00E1388F" w14:paraId="46FE44A2" w14:textId="77777777" w:rsidTr="00EF2C27">
        <w:trPr>
          <w:trHeight w:val="5347"/>
          <w:tblCellSpacing w:w="20" w:type="dxa"/>
        </w:trPr>
        <w:tc>
          <w:tcPr>
            <w:tcW w:w="10108" w:type="dxa"/>
            <w:shd w:val="clear" w:color="000000" w:fill="FFFFFF"/>
            <w:noWrap/>
            <w:hideMark/>
          </w:tcPr>
          <w:p w14:paraId="43EDD2F0" w14:textId="5E482C8D" w:rsidR="00B11A53" w:rsidRPr="00F26F49" w:rsidRDefault="00B11A53" w:rsidP="00EF2C27">
            <w:pPr>
              <w:pStyle w:val="Prrafodelista"/>
              <w:numPr>
                <w:ilvl w:val="0"/>
                <w:numId w:val="2"/>
              </w:numPr>
              <w:spacing w:after="0" w:line="240" w:lineRule="auto"/>
              <w:ind w:left="218" w:hanging="218"/>
              <w:jc w:val="both"/>
              <w:rPr>
                <w:rFonts w:eastAsia="Times New Roman"/>
                <w:color w:val="000000"/>
                <w:lang w:val="es-ES" w:eastAsia="es-MX"/>
              </w:rPr>
            </w:pPr>
            <w:r w:rsidRPr="00F26F49">
              <w:rPr>
                <w:rFonts w:eastAsia="Times New Roman"/>
                <w:color w:val="000000"/>
                <w:lang w:val="es-ES" w:eastAsia="es-MX"/>
              </w:rPr>
              <w:t>Con apego a los ordenamientos legales y reglamentarios vigentes implementar el Servicio Profesional de Carrera Policial (SPCP) mediante la creación de los siguientes instrumentos: Diagnóstico, Comisión Estatal del SPCP, Manuales de Organización y de Procedimientos. Códigos de Conducta y Ética, Sistema informático para el seguimiento administrativo y de la Unidad Administrativa para la operación y seguimiento del SPCP.</w:t>
            </w:r>
          </w:p>
          <w:p w14:paraId="4B035133" w14:textId="78283423" w:rsidR="008E7C17" w:rsidRPr="00F26F49" w:rsidRDefault="008E7C17" w:rsidP="00EF2C27">
            <w:pPr>
              <w:pStyle w:val="Prrafodelista"/>
              <w:numPr>
                <w:ilvl w:val="0"/>
                <w:numId w:val="2"/>
              </w:numPr>
              <w:spacing w:after="0" w:line="240" w:lineRule="auto"/>
              <w:ind w:left="218" w:hanging="218"/>
              <w:jc w:val="both"/>
              <w:rPr>
                <w:rFonts w:eastAsia="Times New Roman"/>
                <w:color w:val="000000"/>
                <w:lang w:val="es-ES" w:eastAsia="es-MX"/>
              </w:rPr>
            </w:pPr>
            <w:r w:rsidRPr="00F26F49">
              <w:rPr>
                <w:rFonts w:eastAsia="Times New Roman"/>
                <w:color w:val="000000"/>
                <w:lang w:val="es-ES" w:eastAsia="es-MX"/>
              </w:rPr>
              <w:t>Llevar a cabo la realización de programas de estudio para cada nivel y tipo de cargo del personal que se vincula con los procesos del nuevo sistema de justicia penal, específicamente a policías de investigación, ministerios públicos, peritos, defensores de oficio, entre otros.</w:t>
            </w:r>
          </w:p>
          <w:p w14:paraId="594EEDD6" w14:textId="77777777" w:rsidR="008E7C17" w:rsidRPr="00F26F49" w:rsidRDefault="008E7C17" w:rsidP="00EF2C27">
            <w:pPr>
              <w:pStyle w:val="Prrafodelista"/>
              <w:numPr>
                <w:ilvl w:val="0"/>
                <w:numId w:val="2"/>
              </w:numPr>
              <w:spacing w:after="0" w:line="240" w:lineRule="auto"/>
              <w:ind w:left="218" w:hanging="218"/>
              <w:jc w:val="both"/>
              <w:rPr>
                <w:rFonts w:eastAsia="Times New Roman"/>
                <w:color w:val="000000"/>
                <w:lang w:val="es-ES" w:eastAsia="es-MX"/>
              </w:rPr>
            </w:pPr>
            <w:r w:rsidRPr="00F26F49">
              <w:rPr>
                <w:rFonts w:eastAsia="Times New Roman"/>
                <w:color w:val="000000"/>
                <w:lang w:val="es-ES" w:eastAsia="es-MX"/>
              </w:rPr>
              <w:t>Priorizar acciones con un enfoque estatal/municipal, que permita atender las necesidades de seguridad a nivel municipal, principalmente en la profesionalización de elementos y equipamiento para una mejor atención de delitos de alto impacto.</w:t>
            </w:r>
          </w:p>
          <w:p w14:paraId="4407228D" w14:textId="77777777" w:rsidR="008E7C17" w:rsidRPr="00F26F49" w:rsidRDefault="008E7C17" w:rsidP="00EF2C27">
            <w:pPr>
              <w:pStyle w:val="Prrafodelista"/>
              <w:numPr>
                <w:ilvl w:val="0"/>
                <w:numId w:val="2"/>
              </w:numPr>
              <w:spacing w:after="0" w:line="240" w:lineRule="auto"/>
              <w:ind w:left="218" w:hanging="218"/>
              <w:jc w:val="both"/>
              <w:rPr>
                <w:rFonts w:eastAsia="Times New Roman"/>
                <w:color w:val="000000"/>
                <w:lang w:val="es-ES" w:eastAsia="es-MX"/>
              </w:rPr>
            </w:pPr>
            <w:r w:rsidRPr="00F26F49">
              <w:rPr>
                <w:rFonts w:eastAsia="Times New Roman"/>
                <w:color w:val="000000"/>
                <w:lang w:val="es-ES" w:eastAsia="es-MX"/>
              </w:rPr>
              <w:t>Conformar un padrón de sujetos autorizados para el manejo de información de seguridad con fines de planeación, seguimiento, evaluación y auditoría de las acciones referidas en la Ley General del Sistema Nacional de Seguridad Pública, de acuerdo con los sustentos y temporalidades aplicables.</w:t>
            </w:r>
          </w:p>
          <w:p w14:paraId="60C56612" w14:textId="77777777" w:rsidR="008E7C17" w:rsidRPr="00F26F49" w:rsidRDefault="008E7C17" w:rsidP="00EF2C27">
            <w:pPr>
              <w:pStyle w:val="Prrafodelista"/>
              <w:numPr>
                <w:ilvl w:val="0"/>
                <w:numId w:val="2"/>
              </w:numPr>
              <w:spacing w:after="0" w:line="240" w:lineRule="auto"/>
              <w:ind w:left="218" w:hanging="218"/>
              <w:jc w:val="both"/>
              <w:rPr>
                <w:rFonts w:eastAsia="Times New Roman"/>
                <w:color w:val="000000"/>
                <w:lang w:val="es-ES" w:eastAsia="es-MX"/>
              </w:rPr>
            </w:pPr>
            <w:r w:rsidRPr="00F26F49">
              <w:rPr>
                <w:rFonts w:eastAsia="Times New Roman"/>
                <w:color w:val="000000"/>
                <w:lang w:val="es-ES" w:eastAsia="es-MX"/>
              </w:rPr>
              <w:t>Intensificar la difusión de la cultura de la prevención de la violencia y la delincuencia, la cultura de la legalidad y del respeto a los derechos humanos entre la población.</w:t>
            </w:r>
          </w:p>
          <w:p w14:paraId="0FE99B21" w14:textId="7902B6B5" w:rsidR="008E7C17" w:rsidRPr="00F26F49" w:rsidRDefault="008E7C17" w:rsidP="00EF2C27">
            <w:pPr>
              <w:pStyle w:val="Prrafodelista"/>
              <w:numPr>
                <w:ilvl w:val="0"/>
                <w:numId w:val="2"/>
              </w:numPr>
              <w:spacing w:after="0" w:line="240" w:lineRule="auto"/>
              <w:ind w:left="218" w:hanging="218"/>
              <w:jc w:val="both"/>
              <w:rPr>
                <w:rFonts w:eastAsia="Times New Roman"/>
                <w:color w:val="000000"/>
                <w:lang w:val="es-ES" w:eastAsia="es-MX"/>
              </w:rPr>
            </w:pPr>
            <w:r w:rsidRPr="00F26F49">
              <w:rPr>
                <w:rFonts w:eastAsia="Times New Roman"/>
                <w:color w:val="000000"/>
                <w:lang w:val="es-ES" w:eastAsia="es-MX"/>
              </w:rPr>
              <w:t xml:space="preserve">Llevar a cabo evaluaciones de los protocolos para el análisis de cuestiones de coordinación interna y externa, así como examinar el rol y los beneficios de contar con funcionarios de inteligencia policial y evaluar la </w:t>
            </w:r>
            <w:r w:rsidR="00F26F49" w:rsidRPr="00F26F49">
              <w:rPr>
                <w:rFonts w:eastAsia="Times New Roman"/>
                <w:color w:val="000000"/>
                <w:lang w:val="es-ES" w:eastAsia="es-MX"/>
              </w:rPr>
              <w:t>posibilidad de</w:t>
            </w:r>
            <w:r w:rsidRPr="00F26F49">
              <w:rPr>
                <w:rFonts w:eastAsia="Times New Roman"/>
                <w:color w:val="000000"/>
                <w:lang w:val="es-ES" w:eastAsia="es-MX"/>
              </w:rPr>
              <w:t xml:space="preserve"> la creación de un Manual de Seguridad Dinámica e Inteligencia Penitenciaria. </w:t>
            </w:r>
          </w:p>
          <w:p w14:paraId="50397304" w14:textId="635A2CC1" w:rsidR="00E1388F" w:rsidRPr="00E1388F" w:rsidRDefault="008E7C17" w:rsidP="00EF2C27">
            <w:pPr>
              <w:pStyle w:val="Prrafodelista"/>
              <w:numPr>
                <w:ilvl w:val="0"/>
                <w:numId w:val="2"/>
              </w:numPr>
              <w:spacing w:after="0" w:line="240" w:lineRule="auto"/>
              <w:ind w:left="218" w:hanging="218"/>
              <w:jc w:val="both"/>
              <w:rPr>
                <w:rFonts w:eastAsia="Times New Roman"/>
                <w:color w:val="000000"/>
                <w:lang w:eastAsia="es-MX"/>
              </w:rPr>
            </w:pPr>
            <w:r w:rsidRPr="00F26F49">
              <w:rPr>
                <w:rFonts w:eastAsia="Times New Roman"/>
                <w:color w:val="000000"/>
                <w:lang w:val="es-ES" w:eastAsia="es-MX"/>
              </w:rPr>
              <w:t>Impulsar a corto plazo un programa de captación de personas que se integren a las filas de las instituciones de Seguridad Pública como elementos policiales y personal de custodia penitenciaria.</w:t>
            </w:r>
          </w:p>
        </w:tc>
      </w:tr>
    </w:tbl>
    <w:p w14:paraId="2DA3330C" w14:textId="7A550BA2" w:rsidR="00DF4DCD" w:rsidRDefault="00DF4DCD">
      <w:pPr>
        <w:spacing w:after="0" w:line="240" w:lineRule="auto"/>
      </w:pPr>
    </w:p>
    <w:tbl>
      <w:tblPr>
        <w:tblW w:w="1015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188"/>
      </w:tblGrid>
      <w:tr w:rsidR="00690BCC" w:rsidRPr="00E1388F" w14:paraId="7AA11186" w14:textId="77777777" w:rsidTr="00EF2C27">
        <w:trPr>
          <w:trHeight w:val="300"/>
          <w:tblCellSpacing w:w="20" w:type="dxa"/>
        </w:trPr>
        <w:tc>
          <w:tcPr>
            <w:tcW w:w="10078" w:type="dxa"/>
            <w:shd w:val="clear" w:color="000000" w:fill="8B1D31"/>
            <w:noWrap/>
            <w:vAlign w:val="center"/>
            <w:hideMark/>
          </w:tcPr>
          <w:p w14:paraId="68EA2BD9" w14:textId="77777777"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14:paraId="3FBB5206" w14:textId="77777777" w:rsidTr="00851F10">
        <w:trPr>
          <w:trHeight w:val="397"/>
          <w:tblCellSpacing w:w="20" w:type="dxa"/>
        </w:trPr>
        <w:tc>
          <w:tcPr>
            <w:tcW w:w="10078" w:type="dxa"/>
            <w:shd w:val="clear" w:color="auto" w:fill="auto"/>
            <w:noWrap/>
            <w:vAlign w:val="center"/>
            <w:hideMark/>
          </w:tcPr>
          <w:p w14:paraId="102A3EE3" w14:textId="0990EAA8" w:rsidR="00BA4A59" w:rsidRPr="00851F10" w:rsidRDefault="00BA4A59" w:rsidP="00D71101">
            <w:pPr>
              <w:spacing w:after="0" w:line="240" w:lineRule="auto"/>
              <w:rPr>
                <w:rFonts w:eastAsia="Times New Roman"/>
                <w:color w:val="000000"/>
                <w:lang w:eastAsia="es-MX"/>
              </w:rPr>
            </w:pPr>
            <w:r w:rsidRPr="00851F10">
              <w:rPr>
                <w:rFonts w:eastAsia="Times New Roman"/>
                <w:b/>
                <w:color w:val="000000"/>
                <w:lang w:eastAsia="es-MX"/>
              </w:rPr>
              <w:t xml:space="preserve">4.1 Nombre del Coordinador de la Evaluación: </w:t>
            </w:r>
            <w:r w:rsidR="00F46C22" w:rsidRPr="00851F10">
              <w:rPr>
                <w:rFonts w:eastAsia="Times New Roman"/>
                <w:color w:val="000000"/>
                <w:lang w:eastAsia="es-MX"/>
              </w:rPr>
              <w:t>Gustavo Guzmán C</w:t>
            </w:r>
            <w:r w:rsidR="00D71101" w:rsidRPr="00851F10">
              <w:rPr>
                <w:rFonts w:eastAsia="Times New Roman"/>
                <w:color w:val="000000"/>
                <w:lang w:eastAsia="es-MX"/>
              </w:rPr>
              <w:t>á</w:t>
            </w:r>
            <w:r w:rsidR="00F46C22" w:rsidRPr="00851F10">
              <w:rPr>
                <w:rFonts w:eastAsia="Times New Roman"/>
                <w:color w:val="000000"/>
                <w:lang w:eastAsia="es-MX"/>
              </w:rPr>
              <w:t>zares</w:t>
            </w:r>
            <w:r w:rsidR="00EF2C27" w:rsidRPr="00851F10">
              <w:rPr>
                <w:rFonts w:eastAsia="Times New Roman"/>
                <w:color w:val="000000"/>
                <w:lang w:eastAsia="es-MX"/>
              </w:rPr>
              <w:t xml:space="preserve"> </w:t>
            </w:r>
            <w:r w:rsidR="00B11A53" w:rsidRPr="00851F10">
              <w:rPr>
                <w:rFonts w:eastAsia="Times New Roman"/>
                <w:color w:val="000000"/>
                <w:lang w:eastAsia="es-MX"/>
              </w:rPr>
              <w:t>/</w:t>
            </w:r>
            <w:r w:rsidR="00EF2C27" w:rsidRPr="00851F10">
              <w:rPr>
                <w:rFonts w:eastAsia="Times New Roman"/>
                <w:color w:val="000000"/>
                <w:lang w:eastAsia="es-MX"/>
              </w:rPr>
              <w:t xml:space="preserve"> </w:t>
            </w:r>
            <w:r w:rsidR="00B11A53" w:rsidRPr="00851F10">
              <w:rPr>
                <w:rFonts w:eastAsia="Times New Roman"/>
                <w:color w:val="000000"/>
                <w:lang w:eastAsia="es-MX"/>
              </w:rPr>
              <w:t>Domingo Vega González</w:t>
            </w:r>
          </w:p>
        </w:tc>
      </w:tr>
      <w:tr w:rsidR="00BA4A59" w:rsidRPr="00E1388F" w14:paraId="7A18F6CA" w14:textId="77777777" w:rsidTr="00EF2C27">
        <w:trPr>
          <w:trHeight w:val="397"/>
          <w:tblCellSpacing w:w="20" w:type="dxa"/>
        </w:trPr>
        <w:tc>
          <w:tcPr>
            <w:tcW w:w="10078" w:type="dxa"/>
            <w:shd w:val="clear" w:color="000000" w:fill="FFFFFF"/>
            <w:noWrap/>
            <w:vAlign w:val="center"/>
            <w:hideMark/>
          </w:tcPr>
          <w:p w14:paraId="10467591" w14:textId="71B5E5E8"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4.2 Cargo:</w:t>
            </w:r>
            <w:r>
              <w:rPr>
                <w:rFonts w:eastAsia="Times New Roman"/>
                <w:b/>
                <w:color w:val="000000"/>
                <w:lang w:eastAsia="es-MX"/>
              </w:rPr>
              <w:t xml:space="preserve"> </w:t>
            </w:r>
            <w:r w:rsidR="00D71101">
              <w:rPr>
                <w:rFonts w:eastAsia="Times New Roman"/>
                <w:color w:val="000000"/>
                <w:lang w:eastAsia="es-MX"/>
              </w:rPr>
              <w:t>Director</w:t>
            </w:r>
            <w:r w:rsidR="00DF4DCD">
              <w:rPr>
                <w:rFonts w:eastAsia="Times New Roman"/>
                <w:color w:val="000000"/>
                <w:lang w:eastAsia="es-MX"/>
              </w:rPr>
              <w:t xml:space="preserve"> </w:t>
            </w:r>
            <w:r w:rsidR="00735BDD">
              <w:rPr>
                <w:rFonts w:eastAsia="Times New Roman"/>
                <w:color w:val="000000"/>
                <w:lang w:eastAsia="es-MX"/>
              </w:rPr>
              <w:t>/ Subdirector</w:t>
            </w:r>
          </w:p>
        </w:tc>
      </w:tr>
      <w:tr w:rsidR="00BA4A59" w:rsidRPr="00E1388F" w14:paraId="3D1F4E58" w14:textId="77777777" w:rsidTr="00EF2C27">
        <w:trPr>
          <w:trHeight w:val="397"/>
          <w:tblCellSpacing w:w="20" w:type="dxa"/>
        </w:trPr>
        <w:tc>
          <w:tcPr>
            <w:tcW w:w="10078" w:type="dxa"/>
            <w:shd w:val="clear" w:color="000000" w:fill="FFFFFF"/>
            <w:noWrap/>
            <w:vAlign w:val="center"/>
            <w:hideMark/>
          </w:tcPr>
          <w:p w14:paraId="2AC0AFA6" w14:textId="7CBCC66C"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4.3 Institución a la que Pertenece:</w:t>
            </w:r>
            <w:r>
              <w:rPr>
                <w:rFonts w:eastAsia="Times New Roman"/>
                <w:b/>
                <w:color w:val="000000"/>
                <w:lang w:eastAsia="es-MX"/>
              </w:rPr>
              <w:t xml:space="preserve"> </w:t>
            </w:r>
            <w:r w:rsidR="00D71101">
              <w:rPr>
                <w:rFonts w:eastAsia="Times New Roman"/>
                <w:color w:val="000000"/>
                <w:lang w:eastAsia="es-MX"/>
              </w:rPr>
              <w:t>SESESP</w:t>
            </w:r>
          </w:p>
        </w:tc>
      </w:tr>
      <w:tr w:rsidR="00BA4A59" w:rsidRPr="00E1388F" w14:paraId="1B5E0E2E" w14:textId="77777777" w:rsidTr="00EF2C27">
        <w:trPr>
          <w:trHeight w:val="397"/>
          <w:tblCellSpacing w:w="20" w:type="dxa"/>
        </w:trPr>
        <w:tc>
          <w:tcPr>
            <w:tcW w:w="10078" w:type="dxa"/>
            <w:shd w:val="clear" w:color="000000" w:fill="FFFFFF"/>
            <w:noWrap/>
            <w:vAlign w:val="center"/>
            <w:hideMark/>
          </w:tcPr>
          <w:p w14:paraId="26310276" w14:textId="0AC6322A" w:rsidR="00BA4A59" w:rsidRDefault="00BA4A59" w:rsidP="00851F10">
            <w:pPr>
              <w:spacing w:after="0" w:line="240" w:lineRule="auto"/>
              <w:rPr>
                <w:rFonts w:eastAsia="Times New Roman"/>
                <w:color w:val="000000"/>
                <w:lang w:eastAsia="es-MX"/>
              </w:rPr>
            </w:pPr>
            <w:r w:rsidRPr="00BA4A59">
              <w:rPr>
                <w:rFonts w:eastAsia="Times New Roman"/>
                <w:b/>
                <w:color w:val="000000"/>
                <w:lang w:eastAsia="es-MX"/>
              </w:rPr>
              <w:lastRenderedPageBreak/>
              <w:t>4.4 Principales Colaboradores:</w:t>
            </w:r>
            <w:r>
              <w:rPr>
                <w:rFonts w:eastAsia="Times New Roman"/>
                <w:b/>
                <w:color w:val="000000"/>
                <w:lang w:eastAsia="es-MX"/>
              </w:rPr>
              <w:t xml:space="preserve"> </w:t>
            </w:r>
            <w:r w:rsidR="00D71101">
              <w:rPr>
                <w:rFonts w:eastAsia="Times New Roman"/>
                <w:color w:val="000000"/>
                <w:lang w:eastAsia="es-MX"/>
              </w:rPr>
              <w:t>Personal Técnico –Operativo del FASP</w:t>
            </w:r>
            <w:r w:rsidR="007E1F01">
              <w:rPr>
                <w:rFonts w:eastAsia="Times New Roman"/>
                <w:color w:val="000000"/>
                <w:lang w:eastAsia="es-MX"/>
              </w:rPr>
              <w:t>:</w:t>
            </w:r>
          </w:p>
          <w:p w14:paraId="707F2356" w14:textId="77777777" w:rsidR="007E1F01" w:rsidRDefault="007E1F01" w:rsidP="00851F10">
            <w:pPr>
              <w:spacing w:after="0" w:line="240" w:lineRule="auto"/>
              <w:rPr>
                <w:rFonts w:eastAsia="Times New Roman"/>
                <w:color w:val="000000"/>
                <w:lang w:eastAsia="es-MX"/>
              </w:rPr>
            </w:pPr>
          </w:p>
          <w:p w14:paraId="434D62B8" w14:textId="56A919E4" w:rsidR="007E1F01" w:rsidRPr="007E1F01" w:rsidRDefault="007E1F01" w:rsidP="00851F10">
            <w:pPr>
              <w:spacing w:after="0" w:line="240" w:lineRule="auto"/>
              <w:rPr>
                <w:rFonts w:eastAsia="Times New Roman"/>
                <w:color w:val="000000"/>
                <w:lang w:eastAsia="es-MX"/>
              </w:rPr>
            </w:pPr>
            <w:r w:rsidRPr="007E1F01">
              <w:rPr>
                <w:rFonts w:eastAsia="Times New Roman"/>
                <w:color w:val="000000"/>
                <w:lang w:eastAsia="es-MX"/>
              </w:rPr>
              <w:t>Celia Silvas Camacho</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Juan Pablo Tisnado Zamorano</w:t>
            </w:r>
          </w:p>
          <w:p w14:paraId="0AD11440" w14:textId="55FF186A" w:rsidR="007E1F01" w:rsidRPr="007E1F01" w:rsidRDefault="007E1F01" w:rsidP="00851F10">
            <w:pPr>
              <w:spacing w:after="0" w:line="240" w:lineRule="auto"/>
              <w:rPr>
                <w:rFonts w:eastAsia="Times New Roman"/>
                <w:color w:val="000000"/>
                <w:lang w:eastAsia="es-MX"/>
              </w:rPr>
            </w:pPr>
            <w:r w:rsidRPr="007E1F01">
              <w:rPr>
                <w:rFonts w:eastAsia="Times New Roman"/>
                <w:color w:val="000000"/>
                <w:lang w:eastAsia="es-MX"/>
              </w:rPr>
              <w:t>Elsa Pico Aguirre</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Jorge Antonio Aguirre Pablos</w:t>
            </w:r>
          </w:p>
          <w:p w14:paraId="120281D7" w14:textId="3053292E" w:rsidR="007E1F01" w:rsidRPr="007E1F01" w:rsidRDefault="007E1F01" w:rsidP="00851F10">
            <w:pPr>
              <w:spacing w:after="0" w:line="240" w:lineRule="auto"/>
              <w:rPr>
                <w:rFonts w:eastAsia="Times New Roman"/>
                <w:color w:val="000000"/>
                <w:lang w:eastAsia="es-MX"/>
              </w:rPr>
            </w:pPr>
            <w:r w:rsidRPr="007E1F01">
              <w:rPr>
                <w:rFonts w:eastAsia="Times New Roman"/>
                <w:color w:val="000000"/>
                <w:lang w:eastAsia="es-MX"/>
              </w:rPr>
              <w:t>Esperanza Rodríguez Cota</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Roberto Angulo Canobio</w:t>
            </w:r>
          </w:p>
          <w:p w14:paraId="053BDD7D" w14:textId="015F8C07" w:rsidR="007E1F01" w:rsidRPr="007E1F01" w:rsidRDefault="007E1F01" w:rsidP="00851F10">
            <w:pPr>
              <w:spacing w:after="0" w:line="240" w:lineRule="auto"/>
              <w:rPr>
                <w:rFonts w:eastAsia="Times New Roman"/>
                <w:color w:val="000000"/>
                <w:lang w:eastAsia="es-MX"/>
              </w:rPr>
            </w:pPr>
            <w:r w:rsidRPr="007E1F01">
              <w:rPr>
                <w:rFonts w:eastAsia="Times New Roman"/>
                <w:color w:val="000000"/>
                <w:lang w:eastAsia="es-MX"/>
              </w:rPr>
              <w:t>Sara Leyva Perea</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Oscar Rene López Sánchez</w:t>
            </w:r>
          </w:p>
          <w:p w14:paraId="64ACC9B8" w14:textId="582915FC" w:rsidR="007E1F01" w:rsidRPr="007E1F01" w:rsidRDefault="007E1F01" w:rsidP="00851F10">
            <w:pPr>
              <w:spacing w:after="0" w:line="240" w:lineRule="auto"/>
              <w:rPr>
                <w:rFonts w:eastAsia="Times New Roman"/>
                <w:color w:val="000000"/>
                <w:lang w:eastAsia="es-MX"/>
              </w:rPr>
            </w:pPr>
            <w:r w:rsidRPr="007E1F01">
              <w:rPr>
                <w:rFonts w:eastAsia="Times New Roman"/>
                <w:color w:val="000000"/>
                <w:lang w:eastAsia="es-MX"/>
              </w:rPr>
              <w:t>Jo</w:t>
            </w:r>
            <w:r>
              <w:rPr>
                <w:rFonts w:eastAsia="Times New Roman"/>
                <w:color w:val="000000"/>
                <w:lang w:eastAsia="es-MX"/>
              </w:rPr>
              <w:t>s</w:t>
            </w:r>
            <w:r w:rsidRPr="007E1F01">
              <w:rPr>
                <w:rFonts w:eastAsia="Times New Roman"/>
                <w:color w:val="000000"/>
                <w:lang w:eastAsia="es-MX"/>
              </w:rPr>
              <w:t xml:space="preserve">é Antonio </w:t>
            </w:r>
            <w:r>
              <w:rPr>
                <w:rFonts w:eastAsia="Times New Roman"/>
                <w:color w:val="000000"/>
                <w:lang w:eastAsia="es-MX"/>
              </w:rPr>
              <w:t>Corona</w:t>
            </w:r>
            <w:r w:rsidRPr="007E1F01">
              <w:rPr>
                <w:rFonts w:eastAsia="Times New Roman"/>
                <w:color w:val="000000"/>
                <w:lang w:eastAsia="es-MX"/>
              </w:rPr>
              <w:t xml:space="preserve"> </w:t>
            </w:r>
            <w:r>
              <w:rPr>
                <w:rFonts w:eastAsia="Times New Roman"/>
                <w:color w:val="000000"/>
                <w:lang w:eastAsia="es-MX"/>
              </w:rPr>
              <w:t>Burgueño</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Antonio Osuna Tirado</w:t>
            </w:r>
          </w:p>
          <w:p w14:paraId="750D540B" w14:textId="0A802DEB" w:rsidR="00735BDD" w:rsidRPr="00E1388F" w:rsidRDefault="007E1F01" w:rsidP="00851F10">
            <w:pPr>
              <w:spacing w:after="0" w:line="240" w:lineRule="auto"/>
              <w:rPr>
                <w:rFonts w:eastAsia="Times New Roman"/>
                <w:color w:val="000000"/>
                <w:lang w:eastAsia="es-MX"/>
              </w:rPr>
            </w:pPr>
            <w:r w:rsidRPr="007E1F01">
              <w:rPr>
                <w:rFonts w:eastAsia="Times New Roman"/>
                <w:color w:val="000000"/>
                <w:lang w:eastAsia="es-MX"/>
              </w:rPr>
              <w:t>Damacio Martínez Ochoa</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Eduardo Obeso Bayliss</w:t>
            </w:r>
          </w:p>
        </w:tc>
      </w:tr>
      <w:tr w:rsidR="00BA4A59" w:rsidRPr="00E1388F" w14:paraId="381C82AE" w14:textId="77777777" w:rsidTr="00EF2C27">
        <w:trPr>
          <w:trHeight w:val="397"/>
          <w:tblCellSpacing w:w="20" w:type="dxa"/>
        </w:trPr>
        <w:tc>
          <w:tcPr>
            <w:tcW w:w="10078" w:type="dxa"/>
            <w:shd w:val="clear" w:color="000000" w:fill="FFFFFF"/>
            <w:noWrap/>
            <w:vAlign w:val="center"/>
            <w:hideMark/>
          </w:tcPr>
          <w:p w14:paraId="0252A8A5" w14:textId="77777777" w:rsidR="00BA4A59" w:rsidRPr="00E1388F" w:rsidRDefault="00BA4A59" w:rsidP="00D71101">
            <w:pPr>
              <w:spacing w:after="0" w:line="240" w:lineRule="auto"/>
              <w:ind w:right="-212"/>
              <w:rPr>
                <w:rFonts w:eastAsia="Times New Roman"/>
                <w:color w:val="000000"/>
                <w:lang w:eastAsia="es-MX"/>
              </w:rPr>
            </w:pPr>
            <w:r w:rsidRPr="00BA4A59">
              <w:rPr>
                <w:rFonts w:eastAsia="Times New Roman"/>
                <w:b/>
                <w:color w:val="000000"/>
                <w:lang w:eastAsia="es-MX"/>
              </w:rPr>
              <w:t>4.5 Correo Electrónico del Coordinador de la Evaluación:</w:t>
            </w:r>
            <w:r>
              <w:rPr>
                <w:rFonts w:eastAsia="Times New Roman"/>
                <w:b/>
                <w:color w:val="000000"/>
                <w:lang w:eastAsia="es-MX"/>
              </w:rPr>
              <w:t xml:space="preserve"> </w:t>
            </w:r>
            <w:r w:rsidR="00D71101">
              <w:rPr>
                <w:rFonts w:eastAsia="Times New Roman"/>
                <w:color w:val="000000"/>
                <w:lang w:eastAsia="es-MX"/>
              </w:rPr>
              <w:t>foseg_sinaloa@hotmail.com</w:t>
            </w:r>
          </w:p>
        </w:tc>
      </w:tr>
      <w:tr w:rsidR="00BA4A59" w:rsidRPr="00E1388F" w14:paraId="57610A89" w14:textId="77777777" w:rsidTr="00EF2C27">
        <w:trPr>
          <w:trHeight w:val="397"/>
          <w:tblCellSpacing w:w="20" w:type="dxa"/>
        </w:trPr>
        <w:tc>
          <w:tcPr>
            <w:tcW w:w="10078" w:type="dxa"/>
            <w:shd w:val="clear" w:color="000000" w:fill="FFFFFF"/>
            <w:noWrap/>
            <w:vAlign w:val="center"/>
            <w:hideMark/>
          </w:tcPr>
          <w:p w14:paraId="38CE24A8" w14:textId="77777777"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4.6 Teléfono (</w:t>
            </w:r>
            <w:r w:rsidR="00D71101">
              <w:rPr>
                <w:rFonts w:eastAsia="Times New Roman"/>
                <w:b/>
                <w:color w:val="000000"/>
                <w:lang w:eastAsia="es-MX"/>
              </w:rPr>
              <w:t>667)</w:t>
            </w:r>
            <w:r>
              <w:rPr>
                <w:rFonts w:eastAsia="Times New Roman"/>
                <w:b/>
                <w:color w:val="000000"/>
                <w:lang w:eastAsia="es-MX"/>
              </w:rPr>
              <w:t xml:space="preserve"> </w:t>
            </w:r>
            <w:r w:rsidR="00D71101">
              <w:rPr>
                <w:rFonts w:eastAsia="Times New Roman"/>
                <w:color w:val="000000"/>
                <w:lang w:eastAsia="es-MX"/>
              </w:rPr>
              <w:t xml:space="preserve">846-5805 </w:t>
            </w:r>
            <w:r w:rsidR="004512E5">
              <w:rPr>
                <w:rFonts w:eastAsia="Times New Roman"/>
                <w:color w:val="000000"/>
                <w:lang w:eastAsia="es-MX"/>
              </w:rPr>
              <w:t>ext.</w:t>
            </w:r>
            <w:r w:rsidR="00D71101">
              <w:rPr>
                <w:rFonts w:eastAsia="Times New Roman"/>
                <w:color w:val="000000"/>
                <w:lang w:eastAsia="es-MX"/>
              </w:rPr>
              <w:t>: 16050</w:t>
            </w:r>
            <w:r>
              <w:rPr>
                <w:rFonts w:eastAsia="Times New Roman"/>
                <w:color w:val="000000"/>
                <w:lang w:eastAsia="es-MX"/>
              </w:rPr>
              <w:t xml:space="preserve"> </w:t>
            </w:r>
          </w:p>
        </w:tc>
      </w:tr>
    </w:tbl>
    <w:p w14:paraId="40DE0AE0" w14:textId="77777777" w:rsidR="00EC63B6" w:rsidRDefault="00EC63B6" w:rsidP="002272AA">
      <w:pPr>
        <w:spacing w:after="0"/>
      </w:pPr>
    </w:p>
    <w:tbl>
      <w:tblPr>
        <w:tblW w:w="9987"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462"/>
        <w:gridCol w:w="228"/>
        <w:gridCol w:w="1386"/>
        <w:gridCol w:w="1953"/>
        <w:gridCol w:w="246"/>
        <w:gridCol w:w="2159"/>
        <w:gridCol w:w="84"/>
        <w:gridCol w:w="184"/>
        <w:gridCol w:w="1405"/>
      </w:tblGrid>
      <w:tr w:rsidR="00690BCC" w:rsidRPr="00BA4A59" w14:paraId="32E1ADC1" w14:textId="77777777" w:rsidTr="00517737">
        <w:trPr>
          <w:trHeight w:val="312"/>
          <w:tblCellSpacing w:w="20" w:type="dxa"/>
        </w:trPr>
        <w:tc>
          <w:tcPr>
            <w:tcW w:w="9907" w:type="dxa"/>
            <w:gridSpan w:val="9"/>
            <w:shd w:val="clear" w:color="000000" w:fill="8B1D31"/>
            <w:noWrap/>
            <w:vAlign w:val="center"/>
            <w:hideMark/>
          </w:tcPr>
          <w:p w14:paraId="21541CCD"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5. Identificación del (os) Programa(S)</w:t>
            </w:r>
          </w:p>
        </w:tc>
      </w:tr>
      <w:tr w:rsidR="0091170D" w:rsidRPr="00E1388F" w14:paraId="4D7A9FD9" w14:textId="77777777" w:rsidTr="00517737">
        <w:trPr>
          <w:trHeight w:val="406"/>
          <w:tblCellSpacing w:w="20" w:type="dxa"/>
        </w:trPr>
        <w:tc>
          <w:tcPr>
            <w:tcW w:w="9907" w:type="dxa"/>
            <w:gridSpan w:val="9"/>
            <w:shd w:val="clear" w:color="000000" w:fill="FFFFFF"/>
            <w:noWrap/>
            <w:vAlign w:val="center"/>
            <w:hideMark/>
          </w:tcPr>
          <w:p w14:paraId="16D39151" w14:textId="77777777"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Pr>
                <w:rFonts w:eastAsia="Times New Roman"/>
                <w:b/>
                <w:color w:val="000000"/>
                <w:lang w:eastAsia="es-MX"/>
              </w:rPr>
              <w:t xml:space="preserve"> </w:t>
            </w:r>
            <w:r w:rsidR="00D71101">
              <w:rPr>
                <w:rFonts w:eastAsia="Times New Roman"/>
                <w:color w:val="000000"/>
                <w:lang w:eastAsia="es-MX"/>
              </w:rPr>
              <w:t>Fondo de Aportaciones para la Seguridad Pública</w:t>
            </w:r>
            <w:r w:rsidRPr="00E1388F">
              <w:rPr>
                <w:rFonts w:eastAsia="Times New Roman"/>
                <w:color w:val="000000"/>
                <w:lang w:eastAsia="es-MX"/>
              </w:rPr>
              <w:t> </w:t>
            </w:r>
          </w:p>
        </w:tc>
      </w:tr>
      <w:tr w:rsidR="0091170D" w:rsidRPr="00E1388F" w14:paraId="3758F177" w14:textId="77777777" w:rsidTr="00517737">
        <w:trPr>
          <w:trHeight w:val="406"/>
          <w:tblCellSpacing w:w="20" w:type="dxa"/>
        </w:trPr>
        <w:tc>
          <w:tcPr>
            <w:tcW w:w="9907" w:type="dxa"/>
            <w:gridSpan w:val="9"/>
            <w:shd w:val="clear" w:color="000000" w:fill="FFFFFF"/>
            <w:noWrap/>
            <w:vAlign w:val="center"/>
            <w:hideMark/>
          </w:tcPr>
          <w:p w14:paraId="74533659" w14:textId="77777777" w:rsidR="0091170D" w:rsidRPr="003E6E57" w:rsidRDefault="0091170D" w:rsidP="00D71101">
            <w:pPr>
              <w:spacing w:after="0" w:line="240" w:lineRule="auto"/>
              <w:rPr>
                <w:rFonts w:cstheme="minorHAnsi"/>
              </w:rPr>
            </w:pPr>
            <w:r w:rsidRPr="00BA4A59">
              <w:rPr>
                <w:rFonts w:eastAsia="Times New Roman"/>
                <w:b/>
                <w:color w:val="000000"/>
                <w:lang w:eastAsia="es-MX"/>
              </w:rPr>
              <w:t>5.2 Siglas:</w:t>
            </w:r>
            <w:r>
              <w:rPr>
                <w:rFonts w:eastAsia="Times New Roman"/>
                <w:b/>
                <w:color w:val="000000"/>
                <w:lang w:eastAsia="es-MX"/>
              </w:rPr>
              <w:t xml:space="preserve"> </w:t>
            </w:r>
            <w:r w:rsidR="00D71101">
              <w:rPr>
                <w:rFonts w:cstheme="minorHAnsi"/>
              </w:rPr>
              <w:t>FASP</w:t>
            </w:r>
          </w:p>
        </w:tc>
      </w:tr>
      <w:tr w:rsidR="0091170D" w:rsidRPr="00E1388F" w14:paraId="6D2B7BA9" w14:textId="77777777" w:rsidTr="00517737">
        <w:trPr>
          <w:trHeight w:val="406"/>
          <w:tblCellSpacing w:w="20" w:type="dxa"/>
        </w:trPr>
        <w:tc>
          <w:tcPr>
            <w:tcW w:w="9907" w:type="dxa"/>
            <w:gridSpan w:val="9"/>
            <w:shd w:val="clear" w:color="000000" w:fill="FFFFFF"/>
            <w:noWrap/>
            <w:vAlign w:val="center"/>
            <w:hideMark/>
          </w:tcPr>
          <w:p w14:paraId="6A3422E4" w14:textId="77777777"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Pr>
                <w:rFonts w:eastAsia="Times New Roman"/>
                <w:b/>
                <w:color w:val="000000"/>
                <w:lang w:eastAsia="es-MX"/>
              </w:rPr>
              <w:t xml:space="preserve"> </w:t>
            </w:r>
            <w:r w:rsidR="00D71101">
              <w:rPr>
                <w:rFonts w:eastAsia="Times New Roman"/>
                <w:color w:val="000000"/>
                <w:lang w:eastAsia="es-MX"/>
              </w:rPr>
              <w:t>SESESP</w:t>
            </w:r>
          </w:p>
        </w:tc>
      </w:tr>
      <w:tr w:rsidR="00690BCC" w:rsidRPr="00E1388F" w14:paraId="3ECD33E6" w14:textId="77777777" w:rsidTr="00517737">
        <w:trPr>
          <w:trHeight w:val="406"/>
          <w:tblCellSpacing w:w="20" w:type="dxa"/>
        </w:trPr>
        <w:tc>
          <w:tcPr>
            <w:tcW w:w="9907" w:type="dxa"/>
            <w:gridSpan w:val="9"/>
            <w:shd w:val="clear" w:color="000000" w:fill="FFFFFF"/>
            <w:noWrap/>
            <w:vAlign w:val="center"/>
            <w:hideMark/>
          </w:tcPr>
          <w:p w14:paraId="383405BF" w14:textId="0AB987A6" w:rsidR="00E1388F" w:rsidRPr="00E1388F" w:rsidRDefault="00E1388F" w:rsidP="0091170D">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r w:rsidR="003E6E57">
              <w:rPr>
                <w:rFonts w:eastAsia="Times New Roman"/>
                <w:color w:val="000000"/>
                <w:lang w:eastAsia="es-MX"/>
              </w:rPr>
              <w:t xml:space="preserve"> </w:t>
            </w:r>
          </w:p>
        </w:tc>
      </w:tr>
      <w:tr w:rsidR="00EC63B6" w:rsidRPr="00E1388F" w14:paraId="2A4E6295" w14:textId="77777777" w:rsidTr="00517737">
        <w:trPr>
          <w:trHeight w:val="406"/>
          <w:tblCellSpacing w:w="20" w:type="dxa"/>
        </w:trPr>
        <w:tc>
          <w:tcPr>
            <w:tcW w:w="2600" w:type="dxa"/>
            <w:gridSpan w:val="2"/>
            <w:shd w:val="clear" w:color="000000" w:fill="FFFFFF"/>
            <w:noWrap/>
            <w:vAlign w:val="center"/>
            <w:hideMark/>
          </w:tcPr>
          <w:p w14:paraId="614CCB48"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Ejecutivo:</w:t>
            </w:r>
            <w:r w:rsidR="00D71101">
              <w:rPr>
                <w:rFonts w:eastAsia="Times New Roman"/>
                <w:color w:val="000000"/>
                <w:lang w:eastAsia="es-MX"/>
              </w:rPr>
              <w:t xml:space="preserve"> X</w:t>
            </w:r>
          </w:p>
        </w:tc>
        <w:tc>
          <w:tcPr>
            <w:tcW w:w="3515" w:type="dxa"/>
            <w:gridSpan w:val="3"/>
            <w:shd w:val="clear" w:color="000000" w:fill="FFFFFF"/>
            <w:noWrap/>
            <w:vAlign w:val="center"/>
            <w:hideMark/>
          </w:tcPr>
          <w:p w14:paraId="5A1F62FE"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Legislativo:</w:t>
            </w:r>
          </w:p>
        </w:tc>
        <w:tc>
          <w:tcPr>
            <w:tcW w:w="2089" w:type="dxa"/>
            <w:shd w:val="clear" w:color="000000" w:fill="FFFFFF"/>
            <w:noWrap/>
            <w:vAlign w:val="center"/>
            <w:hideMark/>
          </w:tcPr>
          <w:p w14:paraId="0125A250"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Judicial:</w:t>
            </w:r>
          </w:p>
        </w:tc>
        <w:tc>
          <w:tcPr>
            <w:tcW w:w="1583" w:type="dxa"/>
            <w:gridSpan w:val="3"/>
            <w:shd w:val="clear" w:color="000000" w:fill="FFFFFF"/>
            <w:noWrap/>
            <w:vAlign w:val="center"/>
            <w:hideMark/>
          </w:tcPr>
          <w:p w14:paraId="1BD08A17"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Ente Autónomo:</w:t>
            </w:r>
          </w:p>
        </w:tc>
      </w:tr>
      <w:tr w:rsidR="00690BCC" w:rsidRPr="00E1388F" w14:paraId="3B06615E" w14:textId="77777777" w:rsidTr="00517737">
        <w:trPr>
          <w:trHeight w:val="484"/>
          <w:tblCellSpacing w:w="20" w:type="dxa"/>
        </w:trPr>
        <w:tc>
          <w:tcPr>
            <w:tcW w:w="9907" w:type="dxa"/>
            <w:gridSpan w:val="9"/>
            <w:shd w:val="clear" w:color="auto" w:fill="F2F2F2" w:themeFill="background1" w:themeFillShade="F2"/>
            <w:noWrap/>
            <w:vAlign w:val="center"/>
            <w:hideMark/>
          </w:tcPr>
          <w:p w14:paraId="63291B3A" w14:textId="66C167EC" w:rsidR="00E1388F" w:rsidRPr="00BA4A59" w:rsidRDefault="00E1388F" w:rsidP="0091170D">
            <w:pPr>
              <w:spacing w:after="0" w:line="240" w:lineRule="auto"/>
              <w:rPr>
                <w:rFonts w:eastAsia="Times New Roman"/>
                <w:b/>
                <w:color w:val="000000"/>
                <w:lang w:eastAsia="es-MX"/>
              </w:rPr>
            </w:pPr>
            <w:r w:rsidRPr="00BA4A59">
              <w:rPr>
                <w:rFonts w:eastAsia="Times New Roman"/>
                <w:b/>
                <w:color w:val="000000"/>
                <w:lang w:eastAsia="es-MX"/>
              </w:rPr>
              <w:t xml:space="preserve">5.5 </w:t>
            </w:r>
            <w:r w:rsidR="00690BCC" w:rsidRPr="00BA4A59">
              <w:rPr>
                <w:rFonts w:eastAsia="Times New Roman"/>
                <w:b/>
                <w:color w:val="000000"/>
                <w:lang w:eastAsia="es-MX"/>
              </w:rPr>
              <w:t>Ámbito</w:t>
            </w:r>
            <w:r w:rsidRPr="00BA4A59">
              <w:rPr>
                <w:rFonts w:eastAsia="Times New Roman"/>
                <w:b/>
                <w:color w:val="000000"/>
                <w:lang w:eastAsia="es-MX"/>
              </w:rPr>
              <w:t xml:space="preserve"> Gubernamental al que Pertenece(n) el(los) Programas):</w:t>
            </w:r>
            <w:r w:rsidR="003E6E57" w:rsidRPr="00BA4A59">
              <w:rPr>
                <w:rFonts w:eastAsia="Times New Roman"/>
                <w:b/>
                <w:color w:val="000000"/>
                <w:lang w:eastAsia="es-MX"/>
              </w:rPr>
              <w:t xml:space="preserve"> </w:t>
            </w:r>
          </w:p>
        </w:tc>
      </w:tr>
      <w:tr w:rsidR="00690BCC" w:rsidRPr="00E1388F" w14:paraId="3D7D321C" w14:textId="77777777" w:rsidTr="00517737">
        <w:trPr>
          <w:trHeight w:val="406"/>
          <w:tblCellSpacing w:w="20" w:type="dxa"/>
        </w:trPr>
        <w:tc>
          <w:tcPr>
            <w:tcW w:w="3963" w:type="dxa"/>
            <w:gridSpan w:val="3"/>
            <w:shd w:val="clear" w:color="000000" w:fill="FFFFFF"/>
            <w:noWrap/>
            <w:vAlign w:val="center"/>
            <w:hideMark/>
          </w:tcPr>
          <w:p w14:paraId="7ED2147B"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Federal:</w:t>
            </w:r>
            <w:r w:rsidR="00D71101">
              <w:rPr>
                <w:rFonts w:eastAsia="Times New Roman"/>
                <w:color w:val="000000"/>
                <w:lang w:eastAsia="es-MX"/>
              </w:rPr>
              <w:t xml:space="preserve"> X</w:t>
            </w:r>
          </w:p>
        </w:tc>
        <w:tc>
          <w:tcPr>
            <w:tcW w:w="4365" w:type="dxa"/>
            <w:gridSpan w:val="4"/>
            <w:shd w:val="clear" w:color="000000" w:fill="FFFFFF"/>
            <w:noWrap/>
            <w:vAlign w:val="center"/>
            <w:hideMark/>
          </w:tcPr>
          <w:p w14:paraId="5C68C1DF"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Estatal:</w:t>
            </w:r>
            <w:r w:rsidR="00D71101">
              <w:rPr>
                <w:rFonts w:eastAsia="Times New Roman"/>
                <w:color w:val="000000"/>
                <w:lang w:eastAsia="es-MX"/>
              </w:rPr>
              <w:t xml:space="preserve"> X</w:t>
            </w:r>
          </w:p>
        </w:tc>
        <w:tc>
          <w:tcPr>
            <w:tcW w:w="1499" w:type="dxa"/>
            <w:gridSpan w:val="2"/>
            <w:shd w:val="clear" w:color="000000" w:fill="FFFFFF"/>
            <w:noWrap/>
            <w:vAlign w:val="center"/>
            <w:hideMark/>
          </w:tcPr>
          <w:p w14:paraId="39E26659"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Local:</w:t>
            </w:r>
          </w:p>
        </w:tc>
      </w:tr>
      <w:tr w:rsidR="00690BCC" w:rsidRPr="00E1388F" w14:paraId="1D7761D1" w14:textId="77777777" w:rsidTr="00851F10">
        <w:trPr>
          <w:trHeight w:val="531"/>
          <w:tblCellSpacing w:w="20" w:type="dxa"/>
        </w:trPr>
        <w:tc>
          <w:tcPr>
            <w:tcW w:w="9907" w:type="dxa"/>
            <w:gridSpan w:val="9"/>
            <w:shd w:val="clear" w:color="auto" w:fill="auto"/>
            <w:noWrap/>
            <w:vAlign w:val="center"/>
            <w:hideMark/>
          </w:tcPr>
          <w:p w14:paraId="06F8247B" w14:textId="77777777" w:rsidR="00E1388F" w:rsidRPr="00851F10" w:rsidRDefault="00E1388F" w:rsidP="00D71101">
            <w:pPr>
              <w:spacing w:after="0" w:line="240" w:lineRule="auto"/>
              <w:rPr>
                <w:rFonts w:eastAsia="Times New Roman"/>
                <w:color w:val="000000"/>
                <w:lang w:eastAsia="es-MX"/>
              </w:rPr>
            </w:pPr>
            <w:r w:rsidRPr="00851F10">
              <w:rPr>
                <w:rFonts w:eastAsia="Times New Roman"/>
                <w:b/>
                <w:color w:val="000000"/>
                <w:lang w:eastAsia="es-MX"/>
              </w:rPr>
              <w:t>5.6 Nombre de la(s) Unidad(es) Administrativa(s) y de (los) titular(es) a cargo del (los) Programa(s):</w:t>
            </w:r>
            <w:r w:rsidR="00601986" w:rsidRPr="00851F10">
              <w:rPr>
                <w:rFonts w:eastAsia="Times New Roman"/>
                <w:b/>
                <w:color w:val="000000"/>
                <w:lang w:eastAsia="es-MX"/>
              </w:rPr>
              <w:t xml:space="preserve"> </w:t>
            </w:r>
          </w:p>
          <w:p w14:paraId="789C4105" w14:textId="77777777" w:rsidR="00D71101" w:rsidRPr="00851F10" w:rsidRDefault="00D71101" w:rsidP="00D71101">
            <w:pPr>
              <w:spacing w:after="0" w:line="240" w:lineRule="auto"/>
              <w:rPr>
                <w:rFonts w:eastAsia="Times New Roman"/>
                <w:b/>
                <w:color w:val="000000"/>
                <w:lang w:eastAsia="es-MX"/>
              </w:rPr>
            </w:pPr>
            <w:r w:rsidRPr="00851F10">
              <w:rPr>
                <w:rFonts w:eastAsia="Times New Roman"/>
                <w:color w:val="000000"/>
                <w:lang w:eastAsia="es-MX"/>
              </w:rPr>
              <w:t>Dirección de Planeación y Operación de Recursos Federales y Estatales Gustavo Guzmán Cázares</w:t>
            </w:r>
          </w:p>
        </w:tc>
      </w:tr>
      <w:tr w:rsidR="00690BCC" w:rsidRPr="00E1388F" w14:paraId="52A76B91" w14:textId="77777777" w:rsidTr="00851F10">
        <w:trPr>
          <w:trHeight w:val="531"/>
          <w:tblCellSpacing w:w="20" w:type="dxa"/>
        </w:trPr>
        <w:tc>
          <w:tcPr>
            <w:tcW w:w="9907" w:type="dxa"/>
            <w:gridSpan w:val="9"/>
            <w:shd w:val="clear" w:color="auto" w:fill="auto"/>
            <w:noWrap/>
            <w:vAlign w:val="center"/>
            <w:hideMark/>
          </w:tcPr>
          <w:p w14:paraId="07F0524A" w14:textId="77777777" w:rsidR="00D71101" w:rsidRPr="00851F10" w:rsidRDefault="00E1388F" w:rsidP="0091170D">
            <w:pPr>
              <w:spacing w:after="0" w:line="240" w:lineRule="auto"/>
              <w:rPr>
                <w:rFonts w:eastAsia="Times New Roman"/>
                <w:color w:val="000000"/>
                <w:lang w:eastAsia="es-MX"/>
              </w:rPr>
            </w:pPr>
            <w:r w:rsidRPr="00851F10">
              <w:rPr>
                <w:rFonts w:eastAsia="Times New Roman"/>
                <w:b/>
                <w:color w:val="000000"/>
                <w:lang w:eastAsia="es-MX"/>
              </w:rPr>
              <w:t>5.6.1 Nombre(s) de la(s) Unidad(es) Administrativa(s) a cargo de (los) Programa(s):</w:t>
            </w:r>
            <w:r w:rsidR="00601986" w:rsidRPr="00851F10">
              <w:rPr>
                <w:rFonts w:eastAsia="Times New Roman"/>
                <w:color w:val="000000"/>
                <w:lang w:eastAsia="es-MX"/>
              </w:rPr>
              <w:t xml:space="preserve"> </w:t>
            </w:r>
          </w:p>
          <w:p w14:paraId="29919FAD" w14:textId="77777777" w:rsidR="00E1388F" w:rsidRPr="00851F10" w:rsidRDefault="00D71101" w:rsidP="0091170D">
            <w:pPr>
              <w:spacing w:after="0" w:line="240" w:lineRule="auto"/>
              <w:rPr>
                <w:rFonts w:eastAsia="Times New Roman"/>
                <w:color w:val="000000"/>
                <w:lang w:eastAsia="es-MX"/>
              </w:rPr>
            </w:pPr>
            <w:r w:rsidRPr="00851F10">
              <w:rPr>
                <w:rFonts w:eastAsia="Times New Roman"/>
                <w:color w:val="000000"/>
                <w:lang w:eastAsia="es-MX"/>
              </w:rPr>
              <w:t>Dirección de Planeación y Operación de Recursos Federales y Estatales Gustavo Guzmán Cázares</w:t>
            </w:r>
          </w:p>
        </w:tc>
      </w:tr>
      <w:tr w:rsidR="00690BCC" w:rsidRPr="00E1388F" w14:paraId="6BC45003" w14:textId="77777777" w:rsidTr="00517737">
        <w:trPr>
          <w:trHeight w:val="703"/>
          <w:tblCellSpacing w:w="20" w:type="dxa"/>
        </w:trPr>
        <w:tc>
          <w:tcPr>
            <w:tcW w:w="9907" w:type="dxa"/>
            <w:gridSpan w:val="9"/>
            <w:shd w:val="clear" w:color="000000" w:fill="F2F2F2"/>
            <w:vAlign w:val="center"/>
            <w:hideMark/>
          </w:tcPr>
          <w:p w14:paraId="7BD66A98" w14:textId="77777777" w:rsidR="00E1388F" w:rsidRPr="0091170D" w:rsidRDefault="00E1388F" w:rsidP="0091170D">
            <w:pPr>
              <w:spacing w:after="0" w:line="240" w:lineRule="auto"/>
              <w:rPr>
                <w:rFonts w:eastAsia="Times New Roman"/>
                <w:b/>
                <w:color w:val="000000"/>
                <w:lang w:eastAsia="es-MX"/>
              </w:rPr>
            </w:pPr>
            <w:r w:rsidRPr="0091170D">
              <w:rPr>
                <w:rFonts w:eastAsia="Times New Roman"/>
                <w:b/>
                <w:color w:val="000000"/>
                <w:lang w:eastAsia="es-MX"/>
              </w:rPr>
              <w:t xml:space="preserve">5.6.2 Nombre(s) de (los) Titular (es) de la(s) Unidad(es) Administrativa(s) a Cargo de (los) Programa(s) (nombre completo, correo </w:t>
            </w:r>
            <w:r w:rsidR="00690BCC" w:rsidRPr="0091170D">
              <w:rPr>
                <w:rFonts w:eastAsia="Times New Roman"/>
                <w:b/>
                <w:color w:val="000000"/>
                <w:lang w:eastAsia="es-MX"/>
              </w:rPr>
              <w:t>electrónico</w:t>
            </w:r>
            <w:r w:rsidRPr="0091170D">
              <w:rPr>
                <w:rFonts w:eastAsia="Times New Roman"/>
                <w:b/>
                <w:color w:val="000000"/>
                <w:lang w:eastAsia="es-MX"/>
              </w:rPr>
              <w:t xml:space="preserve"> y teléfono con clave lada):</w:t>
            </w:r>
          </w:p>
        </w:tc>
      </w:tr>
      <w:tr w:rsidR="00807F0F" w:rsidRPr="00E1388F" w14:paraId="087B6568" w14:textId="77777777" w:rsidTr="00517737">
        <w:trPr>
          <w:trHeight w:val="515"/>
          <w:tblCellSpacing w:w="20" w:type="dxa"/>
        </w:trPr>
        <w:tc>
          <w:tcPr>
            <w:tcW w:w="2372" w:type="dxa"/>
            <w:shd w:val="clear" w:color="000000" w:fill="FFFFFF"/>
            <w:noWrap/>
            <w:vAlign w:val="center"/>
            <w:hideMark/>
          </w:tcPr>
          <w:p w14:paraId="653E7A99"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Nombre:</w:t>
            </w:r>
          </w:p>
        </w:tc>
        <w:tc>
          <w:tcPr>
            <w:tcW w:w="3501" w:type="dxa"/>
            <w:gridSpan w:val="3"/>
            <w:shd w:val="clear" w:color="000000" w:fill="FFFFFF"/>
            <w:noWrap/>
            <w:vAlign w:val="center"/>
            <w:hideMark/>
          </w:tcPr>
          <w:p w14:paraId="28F234FF" w14:textId="77777777" w:rsidR="00E1388F" w:rsidRPr="00E1388F" w:rsidRDefault="00D71101" w:rsidP="0091170D">
            <w:pPr>
              <w:spacing w:after="0" w:line="240" w:lineRule="auto"/>
              <w:rPr>
                <w:rFonts w:eastAsia="Times New Roman"/>
                <w:color w:val="000000"/>
                <w:lang w:eastAsia="es-MX"/>
              </w:rPr>
            </w:pPr>
            <w:r w:rsidRPr="00D71101">
              <w:rPr>
                <w:rFonts w:eastAsia="Times New Roman"/>
                <w:color w:val="000000"/>
                <w:lang w:eastAsia="es-MX"/>
              </w:rPr>
              <w:t>Gustavo Guzmán Cázares</w:t>
            </w:r>
          </w:p>
        </w:tc>
        <w:tc>
          <w:tcPr>
            <w:tcW w:w="2599" w:type="dxa"/>
            <w:gridSpan w:val="4"/>
            <w:shd w:val="clear" w:color="000000" w:fill="FFFFFF"/>
            <w:noWrap/>
            <w:vAlign w:val="center"/>
            <w:hideMark/>
          </w:tcPr>
          <w:p w14:paraId="6EE7E650"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Unidad Administrativa:</w:t>
            </w:r>
          </w:p>
        </w:tc>
        <w:tc>
          <w:tcPr>
            <w:tcW w:w="1315" w:type="dxa"/>
            <w:shd w:val="clear" w:color="000000" w:fill="FFFFFF"/>
            <w:noWrap/>
            <w:vAlign w:val="center"/>
            <w:hideMark/>
          </w:tcPr>
          <w:p w14:paraId="517B766F" w14:textId="5395560C" w:rsidR="00E1388F" w:rsidRPr="00E1388F" w:rsidRDefault="00D71101" w:rsidP="0091170D">
            <w:pPr>
              <w:spacing w:after="0" w:line="240" w:lineRule="auto"/>
              <w:rPr>
                <w:rFonts w:eastAsia="Times New Roman"/>
                <w:color w:val="000000"/>
                <w:lang w:eastAsia="es-MX"/>
              </w:rPr>
            </w:pPr>
            <w:r>
              <w:rPr>
                <w:rFonts w:eastAsia="Times New Roman"/>
                <w:color w:val="000000"/>
                <w:lang w:eastAsia="es-MX"/>
              </w:rPr>
              <w:t>SESESP</w:t>
            </w:r>
          </w:p>
        </w:tc>
      </w:tr>
      <w:tr w:rsidR="00807F0F" w:rsidRPr="00E1388F" w14:paraId="2DF44611" w14:textId="77777777" w:rsidTr="00517737">
        <w:trPr>
          <w:trHeight w:val="515"/>
          <w:tblCellSpacing w:w="20" w:type="dxa"/>
        </w:trPr>
        <w:tc>
          <w:tcPr>
            <w:tcW w:w="2372" w:type="dxa"/>
            <w:shd w:val="clear" w:color="000000" w:fill="FFFFFF"/>
            <w:noWrap/>
            <w:vAlign w:val="center"/>
            <w:hideMark/>
          </w:tcPr>
          <w:p w14:paraId="00EDFB89"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Correo Electrónico:</w:t>
            </w:r>
          </w:p>
        </w:tc>
        <w:tc>
          <w:tcPr>
            <w:tcW w:w="3501" w:type="dxa"/>
            <w:gridSpan w:val="3"/>
            <w:shd w:val="clear" w:color="000000" w:fill="FFFFFF"/>
            <w:noWrap/>
            <w:vAlign w:val="center"/>
            <w:hideMark/>
          </w:tcPr>
          <w:p w14:paraId="44D76573" w14:textId="7B38F82A" w:rsidR="00E1388F" w:rsidRPr="00E1388F" w:rsidRDefault="00D71101" w:rsidP="0091170D">
            <w:pPr>
              <w:spacing w:after="0" w:line="240" w:lineRule="auto"/>
              <w:rPr>
                <w:rFonts w:eastAsia="Times New Roman"/>
                <w:color w:val="000000"/>
                <w:lang w:eastAsia="es-MX"/>
              </w:rPr>
            </w:pPr>
            <w:r>
              <w:rPr>
                <w:rFonts w:eastAsia="Times New Roman"/>
                <w:color w:val="000000"/>
                <w:lang w:eastAsia="es-MX"/>
              </w:rPr>
              <w:t>gustavo.guzman@sinaloa.gob.mx</w:t>
            </w:r>
          </w:p>
        </w:tc>
        <w:tc>
          <w:tcPr>
            <w:tcW w:w="2599" w:type="dxa"/>
            <w:gridSpan w:val="4"/>
            <w:shd w:val="clear" w:color="000000" w:fill="FFFFFF"/>
            <w:noWrap/>
            <w:vAlign w:val="center"/>
            <w:hideMark/>
          </w:tcPr>
          <w:p w14:paraId="165BCCD7" w14:textId="77777777" w:rsidR="005565AC" w:rsidRPr="00E1388F" w:rsidRDefault="00E1388F" w:rsidP="002272AA">
            <w:pPr>
              <w:spacing w:after="0" w:line="240" w:lineRule="auto"/>
              <w:rPr>
                <w:rFonts w:eastAsia="Times New Roman"/>
                <w:color w:val="000000"/>
                <w:lang w:eastAsia="es-MX"/>
              </w:rPr>
            </w:pPr>
            <w:r w:rsidRPr="00E1388F">
              <w:rPr>
                <w:rFonts w:eastAsia="Times New Roman"/>
                <w:color w:val="000000"/>
                <w:lang w:eastAsia="es-MX"/>
              </w:rPr>
              <w:t>Teléfono con lada</w:t>
            </w:r>
          </w:p>
        </w:tc>
        <w:tc>
          <w:tcPr>
            <w:tcW w:w="1315" w:type="dxa"/>
            <w:shd w:val="clear" w:color="000000" w:fill="FFFFFF"/>
            <w:noWrap/>
            <w:vAlign w:val="center"/>
            <w:hideMark/>
          </w:tcPr>
          <w:p w14:paraId="5ACE0DCD" w14:textId="2312EEB1" w:rsidR="00E1388F" w:rsidRPr="00E1388F" w:rsidRDefault="002272AA" w:rsidP="0091170D">
            <w:pPr>
              <w:spacing w:after="0" w:line="240" w:lineRule="auto"/>
              <w:rPr>
                <w:rFonts w:eastAsia="Times New Roman"/>
                <w:color w:val="000000"/>
                <w:lang w:eastAsia="es-MX"/>
              </w:rPr>
            </w:pPr>
            <w:r>
              <w:rPr>
                <w:rFonts w:eastAsia="Times New Roman"/>
                <w:color w:val="000000"/>
                <w:lang w:eastAsia="es-MX"/>
              </w:rPr>
              <w:t>(667) 8465805</w:t>
            </w:r>
          </w:p>
        </w:tc>
      </w:tr>
    </w:tbl>
    <w:p w14:paraId="0F30D6CA" w14:textId="77777777" w:rsidR="00D71101" w:rsidRDefault="00D71101" w:rsidP="002272AA">
      <w:pPr>
        <w:spacing w:after="0"/>
      </w:pPr>
    </w:p>
    <w:tbl>
      <w:tblPr>
        <w:tblW w:w="1017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914"/>
        <w:gridCol w:w="5316"/>
      </w:tblGrid>
      <w:tr w:rsidR="00690BCC" w:rsidRPr="0091170D" w14:paraId="02DB45F9" w14:textId="77777777" w:rsidTr="00173CDD">
        <w:trPr>
          <w:trHeight w:val="300"/>
          <w:tblCellSpacing w:w="20" w:type="dxa"/>
        </w:trPr>
        <w:tc>
          <w:tcPr>
            <w:tcW w:w="10090" w:type="dxa"/>
            <w:gridSpan w:val="2"/>
            <w:shd w:val="clear" w:color="000000" w:fill="8B1D31"/>
            <w:noWrap/>
            <w:vAlign w:val="center"/>
            <w:hideMark/>
          </w:tcPr>
          <w:p w14:paraId="5FACCA57"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lastRenderedPageBreak/>
              <w:t>6. Datos de Contratación de la Evaluación</w:t>
            </w:r>
          </w:p>
        </w:tc>
      </w:tr>
      <w:tr w:rsidR="00690BCC" w:rsidRPr="00E1388F" w14:paraId="043E229F" w14:textId="77777777" w:rsidTr="00173CDD">
        <w:trPr>
          <w:trHeight w:val="375"/>
          <w:tblCellSpacing w:w="20" w:type="dxa"/>
        </w:trPr>
        <w:tc>
          <w:tcPr>
            <w:tcW w:w="10090" w:type="dxa"/>
            <w:gridSpan w:val="2"/>
            <w:shd w:val="clear" w:color="000000" w:fill="FFFFFF"/>
            <w:noWrap/>
            <w:vAlign w:val="center"/>
            <w:hideMark/>
          </w:tcPr>
          <w:p w14:paraId="3118172F" w14:textId="77777777" w:rsidR="00E1388F" w:rsidRPr="00E1388F" w:rsidRDefault="00E1388F" w:rsidP="0091170D">
            <w:pPr>
              <w:spacing w:after="0" w:line="240" w:lineRule="auto"/>
              <w:rPr>
                <w:rFonts w:eastAsia="Times New Roman"/>
                <w:color w:val="000000"/>
                <w:lang w:eastAsia="es-MX"/>
              </w:rPr>
            </w:pPr>
            <w:r w:rsidRPr="0091170D">
              <w:rPr>
                <w:rFonts w:eastAsia="Times New Roman"/>
                <w:b/>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E1388F" w14:paraId="6813C852" w14:textId="77777777" w:rsidTr="00173CDD">
        <w:trPr>
          <w:trHeight w:val="345"/>
          <w:tblCellSpacing w:w="20" w:type="dxa"/>
        </w:trPr>
        <w:tc>
          <w:tcPr>
            <w:tcW w:w="4824" w:type="dxa"/>
            <w:shd w:val="clear" w:color="000000" w:fill="FFFFFF"/>
            <w:noWrap/>
            <w:vAlign w:val="center"/>
            <w:hideMark/>
          </w:tcPr>
          <w:p w14:paraId="5EC2EF3F" w14:textId="2150DF74" w:rsidR="00E1388F" w:rsidRPr="0091170D" w:rsidRDefault="00E1388F" w:rsidP="002D15A8">
            <w:pPr>
              <w:spacing w:after="0" w:line="240" w:lineRule="auto"/>
              <w:jc w:val="both"/>
              <w:rPr>
                <w:rFonts w:eastAsia="Times New Roman"/>
                <w:color w:val="000000"/>
                <w:lang w:eastAsia="es-MX"/>
              </w:rPr>
            </w:pPr>
            <w:r w:rsidRPr="0091170D">
              <w:rPr>
                <w:rFonts w:eastAsia="Times New Roman"/>
                <w:color w:val="000000"/>
                <w:lang w:eastAsia="es-MX"/>
              </w:rPr>
              <w:t>6.1.1 Adjudicación Directa:</w:t>
            </w:r>
            <w:r w:rsidR="002D15A8" w:rsidRPr="002D15A8">
              <w:t xml:space="preserve"> </w:t>
            </w:r>
            <w:r w:rsidR="002D15A8">
              <w:rPr>
                <w:rFonts w:eastAsia="Times New Roman"/>
                <w:color w:val="000000"/>
                <w:lang w:eastAsia="es-MX"/>
              </w:rPr>
              <w:t>A</w:t>
            </w:r>
            <w:r w:rsidR="002D15A8" w:rsidRPr="002D15A8">
              <w:rPr>
                <w:rFonts w:eastAsia="Times New Roman"/>
                <w:color w:val="000000"/>
                <w:lang w:eastAsia="es-MX"/>
              </w:rPr>
              <w:t>djudicación mediante al menos tres cotizaciones, seg</w:t>
            </w:r>
            <w:r w:rsidR="002D15A8">
              <w:rPr>
                <w:rFonts w:eastAsia="Times New Roman"/>
                <w:color w:val="000000"/>
                <w:lang w:eastAsia="es-MX"/>
              </w:rPr>
              <w:t>ú</w:t>
            </w:r>
            <w:r w:rsidR="002D15A8" w:rsidRPr="002D15A8">
              <w:rPr>
                <w:rFonts w:eastAsia="Times New Roman"/>
                <w:color w:val="000000"/>
                <w:lang w:eastAsia="es-MX"/>
              </w:rPr>
              <w:t>n lo dispuesto por el ar</w:t>
            </w:r>
            <w:r w:rsidR="002D15A8">
              <w:rPr>
                <w:rFonts w:eastAsia="Times New Roman"/>
                <w:color w:val="000000"/>
                <w:lang w:eastAsia="es-MX"/>
              </w:rPr>
              <w:t>tí</w:t>
            </w:r>
            <w:r w:rsidR="002D15A8" w:rsidRPr="002D15A8">
              <w:rPr>
                <w:rFonts w:eastAsia="Times New Roman"/>
                <w:color w:val="000000"/>
                <w:lang w:eastAsia="es-MX"/>
              </w:rPr>
              <w:t>culo 32 fracc</w:t>
            </w:r>
            <w:r w:rsidR="002D15A8">
              <w:rPr>
                <w:rFonts w:eastAsia="Times New Roman"/>
                <w:color w:val="000000"/>
                <w:lang w:eastAsia="es-MX"/>
              </w:rPr>
              <w:t>i</w:t>
            </w:r>
            <w:r w:rsidR="002D15A8" w:rsidRPr="002D15A8">
              <w:rPr>
                <w:rFonts w:eastAsia="Times New Roman"/>
                <w:color w:val="000000"/>
                <w:lang w:eastAsia="es-MX"/>
              </w:rPr>
              <w:t>ón l, 52 y demás relat</w:t>
            </w:r>
            <w:r w:rsidR="002D15A8">
              <w:rPr>
                <w:rFonts w:eastAsia="Times New Roman"/>
                <w:color w:val="000000"/>
                <w:lang w:eastAsia="es-MX"/>
              </w:rPr>
              <w:t>i</w:t>
            </w:r>
            <w:r w:rsidR="002D15A8" w:rsidRPr="002D15A8">
              <w:rPr>
                <w:rFonts w:eastAsia="Times New Roman"/>
                <w:color w:val="000000"/>
                <w:lang w:eastAsia="es-MX"/>
              </w:rPr>
              <w:t xml:space="preserve">vos de la ley de adquisiciones, </w:t>
            </w:r>
            <w:r w:rsidR="002D15A8">
              <w:rPr>
                <w:rFonts w:eastAsia="Times New Roman"/>
                <w:color w:val="000000"/>
                <w:lang w:eastAsia="es-MX"/>
              </w:rPr>
              <w:t xml:space="preserve">arrendamientos, servicios </w:t>
            </w:r>
            <w:r w:rsidR="002D15A8" w:rsidRPr="002D15A8">
              <w:rPr>
                <w:rFonts w:eastAsia="Times New Roman"/>
                <w:color w:val="000000"/>
                <w:lang w:eastAsia="es-MX"/>
              </w:rPr>
              <w:t>y adminis</w:t>
            </w:r>
            <w:r w:rsidR="002D15A8">
              <w:rPr>
                <w:rFonts w:eastAsia="Times New Roman"/>
                <w:color w:val="000000"/>
                <w:lang w:eastAsia="es-MX"/>
              </w:rPr>
              <w:t>t</w:t>
            </w:r>
            <w:r w:rsidR="002D15A8" w:rsidRPr="002D15A8">
              <w:rPr>
                <w:rFonts w:eastAsia="Times New Roman"/>
                <w:color w:val="000000"/>
                <w:lang w:eastAsia="es-MX"/>
              </w:rPr>
              <w:t>rac</w:t>
            </w:r>
            <w:r w:rsidR="002D15A8">
              <w:rPr>
                <w:rFonts w:eastAsia="Times New Roman"/>
                <w:color w:val="000000"/>
                <w:lang w:eastAsia="es-MX"/>
              </w:rPr>
              <w:t>i</w:t>
            </w:r>
            <w:r w:rsidR="002D15A8" w:rsidRPr="002D15A8">
              <w:rPr>
                <w:rFonts w:eastAsia="Times New Roman"/>
                <w:color w:val="000000"/>
                <w:lang w:eastAsia="es-MX"/>
              </w:rPr>
              <w:t>ó</w:t>
            </w:r>
            <w:r w:rsidR="002D15A8">
              <w:rPr>
                <w:rFonts w:eastAsia="Times New Roman"/>
                <w:color w:val="000000"/>
                <w:lang w:eastAsia="es-MX"/>
              </w:rPr>
              <w:t>n</w:t>
            </w:r>
            <w:r w:rsidR="002D15A8" w:rsidRPr="002D15A8">
              <w:rPr>
                <w:rFonts w:eastAsia="Times New Roman"/>
                <w:color w:val="000000"/>
                <w:lang w:eastAsia="es-MX"/>
              </w:rPr>
              <w:t xml:space="preserve"> </w:t>
            </w:r>
            <w:r w:rsidR="002D15A8">
              <w:rPr>
                <w:rFonts w:eastAsia="Times New Roman"/>
                <w:color w:val="000000"/>
                <w:lang w:eastAsia="es-MX"/>
              </w:rPr>
              <w:t>d</w:t>
            </w:r>
            <w:r w:rsidR="002D15A8" w:rsidRPr="002D15A8">
              <w:rPr>
                <w:rFonts w:eastAsia="Times New Roman"/>
                <w:color w:val="000000"/>
                <w:lang w:eastAsia="es-MX"/>
              </w:rPr>
              <w:t xml:space="preserve">e </w:t>
            </w:r>
            <w:r w:rsidR="002D15A8">
              <w:rPr>
                <w:rFonts w:eastAsia="Times New Roman"/>
                <w:color w:val="000000"/>
                <w:lang w:eastAsia="es-MX"/>
              </w:rPr>
              <w:t>bienes</w:t>
            </w:r>
            <w:r w:rsidR="002D15A8" w:rsidRPr="002D15A8">
              <w:rPr>
                <w:rFonts w:eastAsia="Times New Roman"/>
                <w:color w:val="000000"/>
                <w:lang w:eastAsia="es-MX"/>
              </w:rPr>
              <w:t xml:space="preserve"> muebles para el estado de Sinaloa</w:t>
            </w:r>
            <w:r w:rsidR="00173CDD">
              <w:rPr>
                <w:rFonts w:eastAsia="Times New Roman"/>
                <w:color w:val="000000"/>
                <w:lang w:eastAsia="es-MX"/>
              </w:rPr>
              <w:t>.</w:t>
            </w:r>
          </w:p>
        </w:tc>
        <w:tc>
          <w:tcPr>
            <w:tcW w:w="5226" w:type="dxa"/>
            <w:shd w:val="clear" w:color="000000" w:fill="FFFFFF"/>
            <w:noWrap/>
            <w:vAlign w:val="center"/>
            <w:hideMark/>
          </w:tcPr>
          <w:p w14:paraId="77613AA5" w14:textId="61B2489C"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6.1.2 Invitación a Tres:</w:t>
            </w:r>
          </w:p>
        </w:tc>
      </w:tr>
      <w:tr w:rsidR="00690BCC" w:rsidRPr="00E1388F" w14:paraId="2C5825FC" w14:textId="77777777" w:rsidTr="00173CDD">
        <w:trPr>
          <w:trHeight w:val="446"/>
          <w:tblCellSpacing w:w="20" w:type="dxa"/>
        </w:trPr>
        <w:tc>
          <w:tcPr>
            <w:tcW w:w="4824" w:type="dxa"/>
            <w:shd w:val="clear" w:color="000000" w:fill="FFFFFF"/>
            <w:noWrap/>
            <w:vAlign w:val="center"/>
            <w:hideMark/>
          </w:tcPr>
          <w:p w14:paraId="59F8DFB5" w14:textId="68193FE8" w:rsidR="00E1388F" w:rsidRPr="0091170D" w:rsidRDefault="00E1388F" w:rsidP="00724513">
            <w:pPr>
              <w:spacing w:after="0" w:line="240" w:lineRule="auto"/>
              <w:rPr>
                <w:rFonts w:eastAsia="Times New Roman"/>
                <w:color w:val="000000"/>
                <w:lang w:eastAsia="es-MX"/>
              </w:rPr>
            </w:pPr>
            <w:r w:rsidRPr="0091170D">
              <w:rPr>
                <w:rFonts w:eastAsia="Times New Roman"/>
                <w:color w:val="000000"/>
                <w:lang w:eastAsia="es-MX"/>
              </w:rPr>
              <w:t>6.1.3 Licitación Pública:</w:t>
            </w:r>
          </w:p>
        </w:tc>
        <w:tc>
          <w:tcPr>
            <w:tcW w:w="5226" w:type="dxa"/>
            <w:shd w:val="clear" w:color="000000" w:fill="FFFFFF"/>
            <w:noWrap/>
            <w:vAlign w:val="center"/>
            <w:hideMark/>
          </w:tcPr>
          <w:p w14:paraId="3BAB0E80" w14:textId="3B3D54DD" w:rsidR="00E1388F" w:rsidRPr="0091170D" w:rsidRDefault="00E1388F" w:rsidP="007E1F01">
            <w:pPr>
              <w:spacing w:after="0" w:line="240" w:lineRule="auto"/>
              <w:rPr>
                <w:rFonts w:eastAsia="Times New Roman"/>
                <w:color w:val="000000"/>
                <w:lang w:eastAsia="es-MX"/>
              </w:rPr>
            </w:pPr>
            <w:r w:rsidRPr="0091170D">
              <w:rPr>
                <w:rFonts w:eastAsia="Times New Roman"/>
                <w:color w:val="000000"/>
                <w:lang w:eastAsia="es-MX"/>
              </w:rPr>
              <w:t>6.1.4 Licitación Pública:</w:t>
            </w:r>
          </w:p>
        </w:tc>
      </w:tr>
      <w:tr w:rsidR="0091170D" w:rsidRPr="00E1388F" w14:paraId="7B61CB07" w14:textId="77777777" w:rsidTr="00173CDD">
        <w:trPr>
          <w:trHeight w:val="390"/>
          <w:tblCellSpacing w:w="20" w:type="dxa"/>
        </w:trPr>
        <w:tc>
          <w:tcPr>
            <w:tcW w:w="10090" w:type="dxa"/>
            <w:gridSpan w:val="2"/>
            <w:shd w:val="clear" w:color="000000" w:fill="FFFFFF"/>
            <w:noWrap/>
            <w:vAlign w:val="center"/>
            <w:hideMark/>
          </w:tcPr>
          <w:p w14:paraId="4CB5F416" w14:textId="77777777" w:rsidR="0091170D" w:rsidRPr="0091170D" w:rsidRDefault="0091170D" w:rsidP="0091170D">
            <w:pPr>
              <w:spacing w:after="0" w:line="240" w:lineRule="auto"/>
              <w:rPr>
                <w:rFonts w:eastAsia="Times New Roman"/>
                <w:color w:val="000000"/>
                <w:lang w:eastAsia="es-MX"/>
              </w:rPr>
            </w:pPr>
            <w:r w:rsidRPr="0091170D">
              <w:rPr>
                <w:rFonts w:eastAsia="Times New Roman"/>
                <w:color w:val="000000"/>
                <w:lang w:eastAsia="es-MX"/>
              </w:rPr>
              <w:t>6.1.5 Otro: (señalar) </w:t>
            </w:r>
          </w:p>
        </w:tc>
      </w:tr>
      <w:tr w:rsidR="00690BCC" w:rsidRPr="00E1388F" w14:paraId="301E57D2" w14:textId="77777777" w:rsidTr="00173CDD">
        <w:trPr>
          <w:trHeight w:val="390"/>
          <w:tblCellSpacing w:w="20" w:type="dxa"/>
        </w:trPr>
        <w:tc>
          <w:tcPr>
            <w:tcW w:w="10090" w:type="dxa"/>
            <w:gridSpan w:val="2"/>
            <w:shd w:val="clear" w:color="000000" w:fill="FFFFFF"/>
            <w:noWrap/>
            <w:vAlign w:val="center"/>
            <w:hideMark/>
          </w:tcPr>
          <w:p w14:paraId="71B6BFFB" w14:textId="77777777" w:rsidR="005565AC" w:rsidRDefault="00E1388F" w:rsidP="005565AC">
            <w:pPr>
              <w:spacing w:after="0" w:line="240" w:lineRule="auto"/>
              <w:rPr>
                <w:rFonts w:eastAsia="Times New Roman"/>
                <w:b/>
                <w:color w:val="000000"/>
                <w:lang w:eastAsia="es-MX"/>
              </w:rPr>
            </w:pPr>
            <w:r w:rsidRPr="0091170D">
              <w:rPr>
                <w:rFonts w:eastAsia="Times New Roman"/>
                <w:b/>
                <w:color w:val="000000"/>
                <w:lang w:eastAsia="es-MX"/>
              </w:rPr>
              <w:t>6.2 Unidad Administrativa Responsable de Contratar la Evaluación:</w:t>
            </w:r>
            <w:r w:rsidR="00601986" w:rsidRPr="0091170D">
              <w:rPr>
                <w:rFonts w:eastAsia="Times New Roman"/>
                <w:b/>
                <w:color w:val="000000"/>
                <w:lang w:eastAsia="es-MX"/>
              </w:rPr>
              <w:t xml:space="preserve"> </w:t>
            </w:r>
          </w:p>
          <w:p w14:paraId="0AEFE484" w14:textId="77777777" w:rsidR="00E1388F" w:rsidRPr="00E1388F" w:rsidRDefault="005565AC" w:rsidP="005565AC">
            <w:pPr>
              <w:spacing w:after="0" w:line="240" w:lineRule="auto"/>
              <w:rPr>
                <w:rFonts w:eastAsia="Times New Roman"/>
                <w:color w:val="000000"/>
                <w:lang w:eastAsia="es-MX"/>
              </w:rPr>
            </w:pPr>
            <w:r>
              <w:rPr>
                <w:rFonts w:eastAsia="Times New Roman"/>
                <w:color w:val="000000"/>
                <w:lang w:eastAsia="es-MX"/>
              </w:rPr>
              <w:t>Dirección de Bienes y Suministros de la SAF.</w:t>
            </w:r>
          </w:p>
        </w:tc>
      </w:tr>
      <w:tr w:rsidR="00690BCC" w:rsidRPr="00E1388F" w14:paraId="262573FF" w14:textId="77777777" w:rsidTr="00173CDD">
        <w:trPr>
          <w:trHeight w:val="390"/>
          <w:tblCellSpacing w:w="20" w:type="dxa"/>
        </w:trPr>
        <w:tc>
          <w:tcPr>
            <w:tcW w:w="10090" w:type="dxa"/>
            <w:gridSpan w:val="2"/>
            <w:shd w:val="clear" w:color="000000" w:fill="FFFFFF"/>
            <w:noWrap/>
            <w:vAlign w:val="center"/>
            <w:hideMark/>
          </w:tcPr>
          <w:p w14:paraId="171BF227" w14:textId="08765069" w:rsidR="00E1388F" w:rsidRPr="002D7829" w:rsidRDefault="00E1388F" w:rsidP="005565AC">
            <w:pPr>
              <w:spacing w:after="0" w:line="240" w:lineRule="auto"/>
              <w:rPr>
                <w:rFonts w:eastAsia="Times New Roman"/>
                <w:color w:val="000000"/>
                <w:lang w:eastAsia="es-MX"/>
              </w:rPr>
            </w:pPr>
            <w:r w:rsidRPr="002D7829">
              <w:rPr>
                <w:rFonts w:eastAsia="Times New Roman"/>
                <w:b/>
                <w:color w:val="000000"/>
                <w:lang w:eastAsia="es-MX"/>
              </w:rPr>
              <w:t>6.3 C</w:t>
            </w:r>
            <w:r w:rsidR="00690BCC" w:rsidRPr="002D7829">
              <w:rPr>
                <w:rFonts w:eastAsia="Times New Roman"/>
                <w:b/>
                <w:color w:val="000000"/>
                <w:lang w:eastAsia="es-MX"/>
              </w:rPr>
              <w:t>osto Total de la Evaluación:</w:t>
            </w:r>
            <w:r w:rsidR="00690BCC" w:rsidRPr="002D7829">
              <w:rPr>
                <w:rFonts w:eastAsia="Times New Roman"/>
                <w:color w:val="000000"/>
                <w:lang w:eastAsia="es-MX"/>
              </w:rPr>
              <w:t xml:space="preserve"> </w:t>
            </w:r>
            <w:r w:rsidR="002D7829">
              <w:rPr>
                <w:rFonts w:eastAsia="Times New Roman"/>
                <w:color w:val="000000"/>
                <w:lang w:eastAsia="es-MX"/>
              </w:rPr>
              <w:t>$</w:t>
            </w:r>
            <w:r w:rsidR="003C1091">
              <w:rPr>
                <w:rFonts w:eastAsia="Times New Roman"/>
                <w:color w:val="000000"/>
                <w:lang w:eastAsia="es-MX"/>
              </w:rPr>
              <w:t xml:space="preserve"> 896,316.00</w:t>
            </w:r>
          </w:p>
        </w:tc>
      </w:tr>
      <w:tr w:rsidR="00690BCC" w:rsidRPr="00E1388F" w14:paraId="7626A2D4" w14:textId="77777777" w:rsidTr="00173CDD">
        <w:trPr>
          <w:trHeight w:val="390"/>
          <w:tblCellSpacing w:w="20" w:type="dxa"/>
        </w:trPr>
        <w:tc>
          <w:tcPr>
            <w:tcW w:w="10090" w:type="dxa"/>
            <w:gridSpan w:val="2"/>
            <w:shd w:val="clear" w:color="000000" w:fill="FFFFFF"/>
            <w:noWrap/>
            <w:vAlign w:val="center"/>
            <w:hideMark/>
          </w:tcPr>
          <w:p w14:paraId="05DFCF76" w14:textId="56ED4913"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6.4 Fuente de Financiamiento:</w:t>
            </w:r>
            <w:r w:rsidR="00601986" w:rsidRPr="0091170D">
              <w:rPr>
                <w:rFonts w:eastAsia="Times New Roman"/>
                <w:b/>
                <w:color w:val="000000"/>
                <w:lang w:eastAsia="es-MX"/>
              </w:rPr>
              <w:t xml:space="preserve"> </w:t>
            </w:r>
            <w:r w:rsidR="00724513" w:rsidRPr="00DF4DCD">
              <w:rPr>
                <w:rFonts w:eastAsia="Times New Roman"/>
                <w:bCs/>
                <w:color w:val="000000"/>
                <w:lang w:eastAsia="es-MX"/>
              </w:rPr>
              <w:t>Fondo de Aportaciones para la Seguridad Pública (FASP)</w:t>
            </w:r>
          </w:p>
        </w:tc>
      </w:tr>
    </w:tbl>
    <w:p w14:paraId="43418B5D" w14:textId="77777777" w:rsidR="00EC63B6" w:rsidRDefault="00EC63B6" w:rsidP="002272AA">
      <w:pPr>
        <w:spacing w:after="0"/>
      </w:pPr>
    </w:p>
    <w:tbl>
      <w:tblPr>
        <w:tblW w:w="1010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138"/>
      </w:tblGrid>
      <w:tr w:rsidR="00690BCC" w:rsidRPr="0091170D" w14:paraId="52D10A8F" w14:textId="77777777" w:rsidTr="0047370C">
        <w:trPr>
          <w:trHeight w:val="300"/>
          <w:tblCellSpacing w:w="20" w:type="dxa"/>
        </w:trPr>
        <w:tc>
          <w:tcPr>
            <w:tcW w:w="10028" w:type="dxa"/>
            <w:shd w:val="clear" w:color="000000" w:fill="8B1D31"/>
            <w:noWrap/>
            <w:vAlign w:val="center"/>
            <w:hideMark/>
          </w:tcPr>
          <w:p w14:paraId="448C3B70"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690BCC" w:rsidRPr="00E1388F" w14:paraId="5D108309" w14:textId="77777777" w:rsidTr="0047370C">
        <w:trPr>
          <w:trHeight w:val="390"/>
          <w:tblCellSpacing w:w="20" w:type="dxa"/>
        </w:trPr>
        <w:tc>
          <w:tcPr>
            <w:tcW w:w="10028" w:type="dxa"/>
            <w:shd w:val="clear" w:color="000000" w:fill="FFFFFF"/>
            <w:noWrap/>
            <w:hideMark/>
          </w:tcPr>
          <w:p w14:paraId="388EE5BE" w14:textId="7BAFC52A" w:rsidR="0089095B" w:rsidRPr="00E1388F" w:rsidRDefault="00E1388F" w:rsidP="0089095B">
            <w:pPr>
              <w:spacing w:after="0" w:line="240" w:lineRule="auto"/>
              <w:rPr>
                <w:rFonts w:eastAsia="Times New Roman"/>
                <w:color w:val="000000"/>
                <w:lang w:eastAsia="es-MX"/>
              </w:rPr>
            </w:pPr>
            <w:r w:rsidRPr="0091170D">
              <w:rPr>
                <w:rFonts w:eastAsia="Times New Roman"/>
                <w:b/>
                <w:color w:val="000000"/>
                <w:lang w:eastAsia="es-MX"/>
              </w:rPr>
              <w:t>7.1 Difusión en Internet de la Evaluación:</w:t>
            </w:r>
            <w:r w:rsidR="00601986">
              <w:rPr>
                <w:rFonts w:eastAsia="Times New Roman"/>
                <w:color w:val="000000"/>
                <w:lang w:eastAsia="es-MX"/>
              </w:rPr>
              <w:t xml:space="preserve"> </w:t>
            </w:r>
            <w:r w:rsidR="002D15A8">
              <w:rPr>
                <w:rFonts w:eastAsia="Times New Roman"/>
                <w:color w:val="000000"/>
                <w:lang w:eastAsia="es-MX"/>
              </w:rPr>
              <w:t>Página de internet del SESESP</w:t>
            </w:r>
            <w:r w:rsidR="001C31A8">
              <w:rPr>
                <w:rFonts w:eastAsia="Times New Roman"/>
                <w:color w:val="000000"/>
                <w:lang w:eastAsia="es-MX"/>
              </w:rPr>
              <w:t xml:space="preserve">, </w:t>
            </w:r>
            <w:r w:rsidR="001C31A8" w:rsidRPr="00F82232">
              <w:rPr>
                <w:rStyle w:val="Hipervnculo"/>
                <w:rFonts w:eastAsia="Times New Roman"/>
                <w:lang w:eastAsia="es-MX"/>
              </w:rPr>
              <w:t>saf.transparenciasinaloa.gob.mx/sed/</w:t>
            </w:r>
            <w:r w:rsidR="001C31A8" w:rsidRPr="00647FF3">
              <w:rPr>
                <w:rStyle w:val="Hipervnculo"/>
                <w:rFonts w:eastAsia="Times New Roman"/>
                <w:u w:val="none"/>
                <w:lang w:eastAsia="es-MX"/>
              </w:rPr>
              <w:t xml:space="preserve"> </w:t>
            </w:r>
            <w:r w:rsidR="001C31A8" w:rsidRPr="00647FF3">
              <w:rPr>
                <w:rStyle w:val="Hipervnculo"/>
                <w:rFonts w:eastAsia="Times New Roman"/>
                <w:color w:val="auto"/>
                <w:u w:val="none"/>
                <w:lang w:eastAsia="es-MX"/>
              </w:rPr>
              <w:t>y</w:t>
            </w:r>
            <w:r w:rsidR="001C31A8">
              <w:rPr>
                <w:rStyle w:val="Hipervnculo"/>
                <w:rFonts w:eastAsia="Times New Roman"/>
                <w:color w:val="auto"/>
                <w:u w:val="none"/>
                <w:lang w:eastAsia="es-MX"/>
              </w:rPr>
              <w:t xml:space="preserve"> </w:t>
            </w:r>
            <w:r w:rsidR="001C31A8" w:rsidRPr="00647FF3">
              <w:rPr>
                <w:rStyle w:val="Hipervnculo"/>
                <w:rFonts w:eastAsia="Times New Roman"/>
                <w:lang w:eastAsia="es-MX"/>
              </w:rPr>
              <w:t>evalua.sinaloa.gob.mx/</w:t>
            </w:r>
          </w:p>
        </w:tc>
      </w:tr>
      <w:tr w:rsidR="00690BCC" w:rsidRPr="00E1388F" w14:paraId="0F02B199" w14:textId="77777777" w:rsidTr="0047370C">
        <w:trPr>
          <w:trHeight w:val="390"/>
          <w:tblCellSpacing w:w="20" w:type="dxa"/>
        </w:trPr>
        <w:tc>
          <w:tcPr>
            <w:tcW w:w="10028" w:type="dxa"/>
            <w:shd w:val="clear" w:color="000000" w:fill="FFFFFF"/>
            <w:noWrap/>
            <w:hideMark/>
          </w:tcPr>
          <w:p w14:paraId="5D7FE861" w14:textId="02634319" w:rsidR="00E1388F" w:rsidRPr="00E1388F" w:rsidRDefault="00E1388F" w:rsidP="002D15A8">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r w:rsidR="00DF4DCD">
              <w:rPr>
                <w:rFonts w:eastAsia="Times New Roman"/>
                <w:color w:val="000000"/>
                <w:lang w:eastAsia="es-MX"/>
              </w:rPr>
              <w:t>Página de internet del SESESP</w:t>
            </w:r>
            <w:r w:rsidR="001C31A8">
              <w:rPr>
                <w:rFonts w:eastAsia="Times New Roman"/>
                <w:color w:val="000000"/>
                <w:lang w:eastAsia="es-MX"/>
              </w:rPr>
              <w:t xml:space="preserve">, </w:t>
            </w:r>
            <w:r w:rsidR="001C31A8" w:rsidRPr="00F82232">
              <w:rPr>
                <w:rStyle w:val="Hipervnculo"/>
                <w:rFonts w:eastAsia="Times New Roman"/>
                <w:lang w:eastAsia="es-MX"/>
              </w:rPr>
              <w:t>saf.transparenciasinaloa.gob.mx/sed/</w:t>
            </w:r>
            <w:r w:rsidR="001C31A8" w:rsidRPr="00647FF3">
              <w:rPr>
                <w:rStyle w:val="Hipervnculo"/>
                <w:rFonts w:eastAsia="Times New Roman"/>
                <w:u w:val="none"/>
                <w:lang w:eastAsia="es-MX"/>
              </w:rPr>
              <w:t xml:space="preserve"> </w:t>
            </w:r>
            <w:r w:rsidR="001C31A8" w:rsidRPr="00647FF3">
              <w:rPr>
                <w:rStyle w:val="Hipervnculo"/>
                <w:rFonts w:eastAsia="Times New Roman"/>
                <w:color w:val="auto"/>
                <w:u w:val="none"/>
                <w:lang w:eastAsia="es-MX"/>
              </w:rPr>
              <w:t>y</w:t>
            </w:r>
            <w:r w:rsidR="001C31A8">
              <w:rPr>
                <w:rStyle w:val="Hipervnculo"/>
                <w:rFonts w:eastAsia="Times New Roman"/>
                <w:color w:val="auto"/>
                <w:u w:val="none"/>
                <w:lang w:eastAsia="es-MX"/>
              </w:rPr>
              <w:t xml:space="preserve"> </w:t>
            </w:r>
            <w:r w:rsidR="001C31A8" w:rsidRPr="00647FF3">
              <w:rPr>
                <w:rStyle w:val="Hipervnculo"/>
                <w:rFonts w:eastAsia="Times New Roman"/>
                <w:lang w:eastAsia="es-MX"/>
              </w:rPr>
              <w:t>evalua.sinaloa.gob.mx/</w:t>
            </w:r>
          </w:p>
        </w:tc>
      </w:tr>
    </w:tbl>
    <w:p w14:paraId="756404AF" w14:textId="77777777" w:rsidR="00E474E8" w:rsidRDefault="00E474E8"/>
    <w:sectPr w:rsidR="00E474E8" w:rsidSect="00E1388F">
      <w:headerReference w:type="default" r:id="rId8"/>
      <w:headerReference w:type="first" r:id="rId9"/>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806F" w14:textId="77777777" w:rsidR="00A77EF1" w:rsidRDefault="00A77EF1" w:rsidP="008E5209">
      <w:pPr>
        <w:spacing w:after="0" w:line="240" w:lineRule="auto"/>
      </w:pPr>
      <w:r>
        <w:separator/>
      </w:r>
    </w:p>
  </w:endnote>
  <w:endnote w:type="continuationSeparator" w:id="0">
    <w:p w14:paraId="2A5D2667" w14:textId="77777777" w:rsidR="00A77EF1" w:rsidRDefault="00A77EF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EEAA" w14:textId="77777777" w:rsidR="00A77EF1" w:rsidRDefault="00A77EF1" w:rsidP="008E5209">
      <w:pPr>
        <w:spacing w:after="0" w:line="240" w:lineRule="auto"/>
      </w:pPr>
      <w:r>
        <w:separator/>
      </w:r>
    </w:p>
  </w:footnote>
  <w:footnote w:type="continuationSeparator" w:id="0">
    <w:p w14:paraId="65B7237E" w14:textId="77777777" w:rsidR="00A77EF1" w:rsidRDefault="00A77EF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6789" w14:textId="77777777" w:rsidR="00A77EF1" w:rsidRDefault="00A77EF1"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177C4655" wp14:editId="15A2FB21">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29344C3C" w14:textId="77777777" w:rsidR="00A77EF1" w:rsidRDefault="00A77EF1" w:rsidP="00DF12BB"/>
                        <w:p w14:paraId="565D6639" w14:textId="77777777" w:rsidR="00A77EF1" w:rsidRPr="00AA3309" w:rsidRDefault="00A77EF1"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C4655"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29344C3C" w14:textId="77777777" w:rsidR="00A77EF1" w:rsidRDefault="00A77EF1" w:rsidP="00DF12BB"/>
                  <w:p w14:paraId="565D6639" w14:textId="77777777" w:rsidR="00A77EF1" w:rsidRPr="00AA3309" w:rsidRDefault="00A77EF1"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2888E912" wp14:editId="27622757">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6C76C749" w14:textId="77777777" w:rsidR="00A77EF1" w:rsidRDefault="00A77EF1" w:rsidP="00DF12BB">
    <w:pPr>
      <w:pStyle w:val="Encabezado"/>
      <w:ind w:right="141"/>
      <w:jc w:val="right"/>
      <w:rPr>
        <w:rFonts w:ascii="Montserrat Light" w:hAnsi="Montserrat Light" w:cs="Arial"/>
        <w:b/>
        <w:color w:val="861D31"/>
        <w:szCs w:val="20"/>
      </w:rPr>
    </w:pPr>
  </w:p>
  <w:p w14:paraId="23C83787" w14:textId="77777777" w:rsidR="00A77EF1" w:rsidRDefault="00A77EF1" w:rsidP="00DF12BB">
    <w:pPr>
      <w:pStyle w:val="Encabezado"/>
    </w:pPr>
  </w:p>
  <w:p w14:paraId="53070132" w14:textId="77777777" w:rsidR="00A77EF1" w:rsidRDefault="00A77EF1" w:rsidP="00DF12BB">
    <w:pPr>
      <w:pStyle w:val="Encabezado"/>
    </w:pPr>
  </w:p>
  <w:p w14:paraId="4EC5BC1F" w14:textId="77777777" w:rsidR="00A77EF1" w:rsidRPr="00DF12BB" w:rsidRDefault="00A77EF1" w:rsidP="002272AA">
    <w:pPr>
      <w:ind w:left="2832"/>
      <w:jc w:val="right"/>
      <w:rPr>
        <w:rFonts w:ascii="Montserrat Light" w:hAnsi="Montserrat Light" w:cs="Arial"/>
        <w:b/>
        <w:color w:val="861D31"/>
        <w:sz w:val="28"/>
      </w:rPr>
    </w:pPr>
    <w:r w:rsidRPr="0086126F">
      <w:rPr>
        <w:rFonts w:ascii="Montserrat Light" w:hAnsi="Montserrat Light" w:cs="Arial"/>
        <w:b/>
        <w:color w:val="861D31"/>
        <w:sz w:val="28"/>
      </w:rPr>
      <w:t>Formato para la Difusión de los Resultados de la E</w:t>
    </w:r>
    <w:r>
      <w:rPr>
        <w:rFonts w:ascii="Montserrat Light" w:hAnsi="Montserrat Light" w:cs="Arial"/>
        <w:b/>
        <w:color w:val="861D31"/>
        <w:sz w:val="28"/>
      </w:rPr>
      <w:t>valuación del Fondo de Aportaciones para la Seguridad Pública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B346" w14:textId="77777777" w:rsidR="00A77EF1" w:rsidRDefault="00A77EF1"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7B8BF93D" wp14:editId="43E581AF">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7DF4A46C" w14:textId="77777777" w:rsidR="00A77EF1" w:rsidRDefault="00A77EF1" w:rsidP="00C759BF"/>
                        <w:p w14:paraId="2D54C17D" w14:textId="77777777" w:rsidR="00A77EF1" w:rsidRPr="00AA3309" w:rsidRDefault="00A77EF1"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BF93D"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7DF4A46C" w14:textId="77777777" w:rsidR="00A77EF1" w:rsidRDefault="00A77EF1" w:rsidP="00C759BF"/>
                  <w:p w14:paraId="2D54C17D" w14:textId="77777777" w:rsidR="00A77EF1" w:rsidRPr="00AA3309" w:rsidRDefault="00A77EF1"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56ACFF66" wp14:editId="45CECA50">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4A974FE2" w14:textId="77777777" w:rsidR="00A77EF1" w:rsidRDefault="00A77EF1" w:rsidP="00DA1D55">
    <w:pPr>
      <w:pStyle w:val="Encabezado"/>
      <w:ind w:right="141"/>
      <w:jc w:val="right"/>
      <w:rPr>
        <w:rFonts w:ascii="Montserrat Light" w:hAnsi="Montserrat Light" w:cs="Arial"/>
        <w:b/>
        <w:color w:val="861D31"/>
        <w:szCs w:val="20"/>
      </w:rPr>
    </w:pPr>
  </w:p>
  <w:p w14:paraId="29E06792" w14:textId="77777777" w:rsidR="00A77EF1" w:rsidRDefault="00A77EF1">
    <w:pPr>
      <w:pStyle w:val="Encabezado"/>
    </w:pPr>
  </w:p>
  <w:p w14:paraId="20F2170B" w14:textId="77777777" w:rsidR="00A77EF1" w:rsidRDefault="00A77EF1">
    <w:pPr>
      <w:pStyle w:val="Encabezado"/>
    </w:pPr>
  </w:p>
  <w:p w14:paraId="026AD405" w14:textId="77777777" w:rsidR="00A77EF1" w:rsidRPr="0086126F" w:rsidRDefault="00A77EF1" w:rsidP="002272AA">
    <w:pPr>
      <w:ind w:left="2832"/>
      <w:jc w:val="right"/>
      <w:rPr>
        <w:rFonts w:ascii="Montserrat Light" w:hAnsi="Montserrat Light" w:cs="Arial"/>
        <w:b/>
        <w:color w:val="861D31"/>
        <w:sz w:val="28"/>
      </w:rPr>
    </w:pPr>
    <w:r w:rsidRPr="0086126F">
      <w:rPr>
        <w:rFonts w:ascii="Montserrat Light" w:hAnsi="Montserrat Light" w:cs="Arial"/>
        <w:b/>
        <w:color w:val="861D31"/>
        <w:sz w:val="28"/>
      </w:rPr>
      <w:t>Formato para la Difusión de los Resultados de la E</w:t>
    </w:r>
    <w:r>
      <w:rPr>
        <w:rFonts w:ascii="Montserrat Light" w:hAnsi="Montserrat Light" w:cs="Arial"/>
        <w:b/>
        <w:color w:val="861D31"/>
        <w:sz w:val="28"/>
      </w:rPr>
      <w:t>valuación del Fondo de Aportaciones para la Seguridad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07E21"/>
    <w:multiLevelType w:val="hybridMultilevel"/>
    <w:tmpl w:val="F432A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3B5805"/>
    <w:multiLevelType w:val="hybridMultilevel"/>
    <w:tmpl w:val="147C1B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260EBA"/>
    <w:multiLevelType w:val="hybridMultilevel"/>
    <w:tmpl w:val="6CD0CF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865CAE"/>
    <w:multiLevelType w:val="hybridMultilevel"/>
    <w:tmpl w:val="710C72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2B4FC9"/>
    <w:multiLevelType w:val="hybridMultilevel"/>
    <w:tmpl w:val="193E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D7372F"/>
    <w:multiLevelType w:val="hybridMultilevel"/>
    <w:tmpl w:val="9458903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3A07"/>
    <w:rsid w:val="00084948"/>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840"/>
    <w:rsid w:val="00173CDD"/>
    <w:rsid w:val="001763CC"/>
    <w:rsid w:val="001800BD"/>
    <w:rsid w:val="00184CB5"/>
    <w:rsid w:val="0019373C"/>
    <w:rsid w:val="00193F5E"/>
    <w:rsid w:val="001A0E6E"/>
    <w:rsid w:val="001B0AC5"/>
    <w:rsid w:val="001C31A8"/>
    <w:rsid w:val="001C5275"/>
    <w:rsid w:val="001D01C0"/>
    <w:rsid w:val="001D187A"/>
    <w:rsid w:val="001E5983"/>
    <w:rsid w:val="001E66BD"/>
    <w:rsid w:val="001F0D23"/>
    <w:rsid w:val="001F2C2A"/>
    <w:rsid w:val="001F6318"/>
    <w:rsid w:val="0020020C"/>
    <w:rsid w:val="0020155A"/>
    <w:rsid w:val="002030DF"/>
    <w:rsid w:val="002051F1"/>
    <w:rsid w:val="00214062"/>
    <w:rsid w:val="002272AA"/>
    <w:rsid w:val="00230930"/>
    <w:rsid w:val="002312DF"/>
    <w:rsid w:val="00233D0F"/>
    <w:rsid w:val="002356D5"/>
    <w:rsid w:val="0023762C"/>
    <w:rsid w:val="002422A9"/>
    <w:rsid w:val="00256B08"/>
    <w:rsid w:val="00263C83"/>
    <w:rsid w:val="00264327"/>
    <w:rsid w:val="0026692D"/>
    <w:rsid w:val="002801B9"/>
    <w:rsid w:val="00281DFC"/>
    <w:rsid w:val="002903FB"/>
    <w:rsid w:val="00296056"/>
    <w:rsid w:val="002A29EE"/>
    <w:rsid w:val="002A318E"/>
    <w:rsid w:val="002B2C96"/>
    <w:rsid w:val="002C7030"/>
    <w:rsid w:val="002D15A8"/>
    <w:rsid w:val="002D1AFC"/>
    <w:rsid w:val="002D3EA7"/>
    <w:rsid w:val="002D457E"/>
    <w:rsid w:val="002D7829"/>
    <w:rsid w:val="002E1A84"/>
    <w:rsid w:val="002E4405"/>
    <w:rsid w:val="002E6DAC"/>
    <w:rsid w:val="002F378E"/>
    <w:rsid w:val="00316A9C"/>
    <w:rsid w:val="00316C41"/>
    <w:rsid w:val="00323621"/>
    <w:rsid w:val="00325565"/>
    <w:rsid w:val="003270DD"/>
    <w:rsid w:val="00331966"/>
    <w:rsid w:val="00332B71"/>
    <w:rsid w:val="00332B81"/>
    <w:rsid w:val="00342BB1"/>
    <w:rsid w:val="00345DBF"/>
    <w:rsid w:val="00351B94"/>
    <w:rsid w:val="003671EF"/>
    <w:rsid w:val="003752E1"/>
    <w:rsid w:val="00375FD1"/>
    <w:rsid w:val="003800F3"/>
    <w:rsid w:val="003867E1"/>
    <w:rsid w:val="003954C6"/>
    <w:rsid w:val="003964B5"/>
    <w:rsid w:val="003A23B0"/>
    <w:rsid w:val="003B1D0C"/>
    <w:rsid w:val="003C1091"/>
    <w:rsid w:val="003C3463"/>
    <w:rsid w:val="003C5B02"/>
    <w:rsid w:val="003E326B"/>
    <w:rsid w:val="003E4BAA"/>
    <w:rsid w:val="003E6E57"/>
    <w:rsid w:val="003F0AF3"/>
    <w:rsid w:val="003F315D"/>
    <w:rsid w:val="00413C04"/>
    <w:rsid w:val="0041452B"/>
    <w:rsid w:val="00416CC1"/>
    <w:rsid w:val="00425911"/>
    <w:rsid w:val="00431E65"/>
    <w:rsid w:val="004327A3"/>
    <w:rsid w:val="0044695A"/>
    <w:rsid w:val="004512E5"/>
    <w:rsid w:val="004620A0"/>
    <w:rsid w:val="0047370C"/>
    <w:rsid w:val="0047656A"/>
    <w:rsid w:val="00480476"/>
    <w:rsid w:val="0049271E"/>
    <w:rsid w:val="00495144"/>
    <w:rsid w:val="004A055F"/>
    <w:rsid w:val="004A30A1"/>
    <w:rsid w:val="004C10D1"/>
    <w:rsid w:val="004C1175"/>
    <w:rsid w:val="004C1F58"/>
    <w:rsid w:val="004C36DB"/>
    <w:rsid w:val="004D131A"/>
    <w:rsid w:val="004D31EC"/>
    <w:rsid w:val="004E2AE5"/>
    <w:rsid w:val="004E5966"/>
    <w:rsid w:val="004F1261"/>
    <w:rsid w:val="0050641D"/>
    <w:rsid w:val="00510CF9"/>
    <w:rsid w:val="00517737"/>
    <w:rsid w:val="00531BE3"/>
    <w:rsid w:val="00531C3D"/>
    <w:rsid w:val="005369D7"/>
    <w:rsid w:val="00537028"/>
    <w:rsid w:val="00550AFC"/>
    <w:rsid w:val="00555F51"/>
    <w:rsid w:val="005565AC"/>
    <w:rsid w:val="00564E3C"/>
    <w:rsid w:val="00575727"/>
    <w:rsid w:val="005763DF"/>
    <w:rsid w:val="005773F7"/>
    <w:rsid w:val="005826E6"/>
    <w:rsid w:val="005845F6"/>
    <w:rsid w:val="0058734A"/>
    <w:rsid w:val="0059649C"/>
    <w:rsid w:val="005A2AEF"/>
    <w:rsid w:val="005A3FEB"/>
    <w:rsid w:val="005B4A7B"/>
    <w:rsid w:val="005B6573"/>
    <w:rsid w:val="005B6E40"/>
    <w:rsid w:val="005C47E6"/>
    <w:rsid w:val="005E44FA"/>
    <w:rsid w:val="005F33CC"/>
    <w:rsid w:val="005F575E"/>
    <w:rsid w:val="00601986"/>
    <w:rsid w:val="00602B50"/>
    <w:rsid w:val="00603771"/>
    <w:rsid w:val="006123C0"/>
    <w:rsid w:val="006248E1"/>
    <w:rsid w:val="0062578D"/>
    <w:rsid w:val="00630891"/>
    <w:rsid w:val="0065144E"/>
    <w:rsid w:val="0065719B"/>
    <w:rsid w:val="00666BE5"/>
    <w:rsid w:val="00671A91"/>
    <w:rsid w:val="0068293A"/>
    <w:rsid w:val="00690BCC"/>
    <w:rsid w:val="0069467B"/>
    <w:rsid w:val="006A18AF"/>
    <w:rsid w:val="006A3D81"/>
    <w:rsid w:val="006A631C"/>
    <w:rsid w:val="006A768B"/>
    <w:rsid w:val="006C0CCC"/>
    <w:rsid w:val="006D4E80"/>
    <w:rsid w:val="006E7E0D"/>
    <w:rsid w:val="006F3A57"/>
    <w:rsid w:val="006F69D9"/>
    <w:rsid w:val="00700786"/>
    <w:rsid w:val="00702C7A"/>
    <w:rsid w:val="00705C1F"/>
    <w:rsid w:val="00707205"/>
    <w:rsid w:val="00720B4B"/>
    <w:rsid w:val="00724513"/>
    <w:rsid w:val="0073073B"/>
    <w:rsid w:val="00730743"/>
    <w:rsid w:val="00733EEE"/>
    <w:rsid w:val="00734B50"/>
    <w:rsid w:val="00735BDD"/>
    <w:rsid w:val="00745E86"/>
    <w:rsid w:val="007513D2"/>
    <w:rsid w:val="007541F8"/>
    <w:rsid w:val="007610AB"/>
    <w:rsid w:val="00782C22"/>
    <w:rsid w:val="00784BFB"/>
    <w:rsid w:val="007862E9"/>
    <w:rsid w:val="007967D9"/>
    <w:rsid w:val="007A0C17"/>
    <w:rsid w:val="007A0D4E"/>
    <w:rsid w:val="007A73AA"/>
    <w:rsid w:val="007A782D"/>
    <w:rsid w:val="007B4768"/>
    <w:rsid w:val="007C73EB"/>
    <w:rsid w:val="007D19D3"/>
    <w:rsid w:val="007D4353"/>
    <w:rsid w:val="007D7081"/>
    <w:rsid w:val="007E1F01"/>
    <w:rsid w:val="007E4A2A"/>
    <w:rsid w:val="007E5374"/>
    <w:rsid w:val="00801AE3"/>
    <w:rsid w:val="00803598"/>
    <w:rsid w:val="00807F0F"/>
    <w:rsid w:val="00822FE3"/>
    <w:rsid w:val="00827FA5"/>
    <w:rsid w:val="0083169C"/>
    <w:rsid w:val="00832E3D"/>
    <w:rsid w:val="0083482F"/>
    <w:rsid w:val="008405A6"/>
    <w:rsid w:val="00851F10"/>
    <w:rsid w:val="00855D89"/>
    <w:rsid w:val="00857815"/>
    <w:rsid w:val="0085799F"/>
    <w:rsid w:val="00860E2B"/>
    <w:rsid w:val="0086126F"/>
    <w:rsid w:val="008726E2"/>
    <w:rsid w:val="00874C99"/>
    <w:rsid w:val="0088276D"/>
    <w:rsid w:val="00882D04"/>
    <w:rsid w:val="008905B0"/>
    <w:rsid w:val="00890761"/>
    <w:rsid w:val="0089095B"/>
    <w:rsid w:val="008A0BCB"/>
    <w:rsid w:val="008A0CB2"/>
    <w:rsid w:val="008B0E9B"/>
    <w:rsid w:val="008D08A8"/>
    <w:rsid w:val="008D2433"/>
    <w:rsid w:val="008E3483"/>
    <w:rsid w:val="008E5209"/>
    <w:rsid w:val="008E7C17"/>
    <w:rsid w:val="008F0494"/>
    <w:rsid w:val="008F1D6E"/>
    <w:rsid w:val="0091170D"/>
    <w:rsid w:val="009160E1"/>
    <w:rsid w:val="0092465C"/>
    <w:rsid w:val="009263AC"/>
    <w:rsid w:val="00934890"/>
    <w:rsid w:val="009352D5"/>
    <w:rsid w:val="00950021"/>
    <w:rsid w:val="0096110F"/>
    <w:rsid w:val="009768FB"/>
    <w:rsid w:val="00983315"/>
    <w:rsid w:val="00997ED9"/>
    <w:rsid w:val="009A182A"/>
    <w:rsid w:val="009A3BA4"/>
    <w:rsid w:val="009B3B2B"/>
    <w:rsid w:val="009B5E2C"/>
    <w:rsid w:val="009B795A"/>
    <w:rsid w:val="009C2A50"/>
    <w:rsid w:val="009C6FE2"/>
    <w:rsid w:val="009D58D9"/>
    <w:rsid w:val="009D7FB9"/>
    <w:rsid w:val="009E50E6"/>
    <w:rsid w:val="009E7DF9"/>
    <w:rsid w:val="009F12A7"/>
    <w:rsid w:val="009F257D"/>
    <w:rsid w:val="00A0130B"/>
    <w:rsid w:val="00A06B19"/>
    <w:rsid w:val="00A06C49"/>
    <w:rsid w:val="00A16C5A"/>
    <w:rsid w:val="00A3027C"/>
    <w:rsid w:val="00A30BA4"/>
    <w:rsid w:val="00A342A7"/>
    <w:rsid w:val="00A349AA"/>
    <w:rsid w:val="00A41EEE"/>
    <w:rsid w:val="00A45C63"/>
    <w:rsid w:val="00A46A7F"/>
    <w:rsid w:val="00A564F9"/>
    <w:rsid w:val="00A609A3"/>
    <w:rsid w:val="00A62C84"/>
    <w:rsid w:val="00A631C2"/>
    <w:rsid w:val="00A65303"/>
    <w:rsid w:val="00A7110A"/>
    <w:rsid w:val="00A74CCC"/>
    <w:rsid w:val="00A77EF1"/>
    <w:rsid w:val="00A82DED"/>
    <w:rsid w:val="00A84C9A"/>
    <w:rsid w:val="00A97B59"/>
    <w:rsid w:val="00AA2447"/>
    <w:rsid w:val="00AA3309"/>
    <w:rsid w:val="00AB5C90"/>
    <w:rsid w:val="00AC54AF"/>
    <w:rsid w:val="00AC620E"/>
    <w:rsid w:val="00AD0ADD"/>
    <w:rsid w:val="00AE0BD1"/>
    <w:rsid w:val="00AE4E69"/>
    <w:rsid w:val="00AE5C01"/>
    <w:rsid w:val="00B10612"/>
    <w:rsid w:val="00B11A53"/>
    <w:rsid w:val="00B20F0E"/>
    <w:rsid w:val="00B22ADF"/>
    <w:rsid w:val="00B24DE7"/>
    <w:rsid w:val="00B3544D"/>
    <w:rsid w:val="00B35EB8"/>
    <w:rsid w:val="00B435F5"/>
    <w:rsid w:val="00B51B31"/>
    <w:rsid w:val="00B56D33"/>
    <w:rsid w:val="00B614DF"/>
    <w:rsid w:val="00B71DBF"/>
    <w:rsid w:val="00BA1B67"/>
    <w:rsid w:val="00BA222E"/>
    <w:rsid w:val="00BA4A59"/>
    <w:rsid w:val="00BB05A3"/>
    <w:rsid w:val="00BB0885"/>
    <w:rsid w:val="00BB130C"/>
    <w:rsid w:val="00BC2055"/>
    <w:rsid w:val="00BC2B7A"/>
    <w:rsid w:val="00BC3C31"/>
    <w:rsid w:val="00BC5E9C"/>
    <w:rsid w:val="00BD577F"/>
    <w:rsid w:val="00BE1BAD"/>
    <w:rsid w:val="00BE4329"/>
    <w:rsid w:val="00BE7166"/>
    <w:rsid w:val="00BF1C9C"/>
    <w:rsid w:val="00BF1F13"/>
    <w:rsid w:val="00BF25EA"/>
    <w:rsid w:val="00BF320F"/>
    <w:rsid w:val="00BF698D"/>
    <w:rsid w:val="00C04B92"/>
    <w:rsid w:val="00C103A7"/>
    <w:rsid w:val="00C17070"/>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CF6218"/>
    <w:rsid w:val="00D10D79"/>
    <w:rsid w:val="00D1436F"/>
    <w:rsid w:val="00D15AF3"/>
    <w:rsid w:val="00D16047"/>
    <w:rsid w:val="00D2217D"/>
    <w:rsid w:val="00D31A79"/>
    <w:rsid w:val="00D33ED2"/>
    <w:rsid w:val="00D37BFC"/>
    <w:rsid w:val="00D54A9B"/>
    <w:rsid w:val="00D557F6"/>
    <w:rsid w:val="00D617BA"/>
    <w:rsid w:val="00D63AE8"/>
    <w:rsid w:val="00D71101"/>
    <w:rsid w:val="00D77276"/>
    <w:rsid w:val="00D8309E"/>
    <w:rsid w:val="00D92DBC"/>
    <w:rsid w:val="00DA1D55"/>
    <w:rsid w:val="00DA34D1"/>
    <w:rsid w:val="00DA6B5F"/>
    <w:rsid w:val="00DA6D7B"/>
    <w:rsid w:val="00DB29CD"/>
    <w:rsid w:val="00DB7D6F"/>
    <w:rsid w:val="00DD1B80"/>
    <w:rsid w:val="00DD2500"/>
    <w:rsid w:val="00DE333B"/>
    <w:rsid w:val="00DE3EC0"/>
    <w:rsid w:val="00DF0203"/>
    <w:rsid w:val="00DF12BB"/>
    <w:rsid w:val="00DF4DCD"/>
    <w:rsid w:val="00E0038A"/>
    <w:rsid w:val="00E01194"/>
    <w:rsid w:val="00E02A2F"/>
    <w:rsid w:val="00E055EA"/>
    <w:rsid w:val="00E107F2"/>
    <w:rsid w:val="00E1147B"/>
    <w:rsid w:val="00E1388F"/>
    <w:rsid w:val="00E236DA"/>
    <w:rsid w:val="00E474E8"/>
    <w:rsid w:val="00E4783D"/>
    <w:rsid w:val="00E529A2"/>
    <w:rsid w:val="00E55352"/>
    <w:rsid w:val="00E66462"/>
    <w:rsid w:val="00E85EDC"/>
    <w:rsid w:val="00E91A09"/>
    <w:rsid w:val="00E95051"/>
    <w:rsid w:val="00EA4287"/>
    <w:rsid w:val="00EA5282"/>
    <w:rsid w:val="00EB345E"/>
    <w:rsid w:val="00EC21F6"/>
    <w:rsid w:val="00EC3814"/>
    <w:rsid w:val="00EC63B6"/>
    <w:rsid w:val="00ED0FAB"/>
    <w:rsid w:val="00ED2843"/>
    <w:rsid w:val="00EE32E3"/>
    <w:rsid w:val="00EF2C27"/>
    <w:rsid w:val="00F0320D"/>
    <w:rsid w:val="00F16821"/>
    <w:rsid w:val="00F16885"/>
    <w:rsid w:val="00F24D1A"/>
    <w:rsid w:val="00F2576D"/>
    <w:rsid w:val="00F26D0B"/>
    <w:rsid w:val="00F26F49"/>
    <w:rsid w:val="00F33E30"/>
    <w:rsid w:val="00F36ECC"/>
    <w:rsid w:val="00F46C22"/>
    <w:rsid w:val="00F51A08"/>
    <w:rsid w:val="00F75E9D"/>
    <w:rsid w:val="00F8367D"/>
    <w:rsid w:val="00F963E2"/>
    <w:rsid w:val="00FA1BB9"/>
    <w:rsid w:val="00FA7D41"/>
    <w:rsid w:val="00FB0820"/>
    <w:rsid w:val="00FB1337"/>
    <w:rsid w:val="00FB1BFB"/>
    <w:rsid w:val="00FB1F72"/>
    <w:rsid w:val="00FB4127"/>
    <w:rsid w:val="00FB4704"/>
    <w:rsid w:val="00FC30E6"/>
    <w:rsid w:val="00FE44F0"/>
    <w:rsid w:val="00FF71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205DBF"/>
  <w15:docId w15:val="{0C7CFB5F-9696-42F4-A5D1-6DA4D606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PrrafodelistaCar">
    <w:name w:val="Párrafo de lista Car"/>
    <w:link w:val="Prrafodelista"/>
    <w:uiPriority w:val="34"/>
    <w:locked/>
    <w:rsid w:val="008B0E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1304708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C909F-AB94-41FD-BB72-E854331B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Pages>
  <Words>2209</Words>
  <Characters>12152</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Gallegos</dc:creator>
  <cp:lastModifiedBy>Hauchbaum</cp:lastModifiedBy>
  <cp:revision>25</cp:revision>
  <cp:lastPrinted>2021-10-28T22:23:00Z</cp:lastPrinted>
  <dcterms:created xsi:type="dcterms:W3CDTF">2020-05-27T20:27:00Z</dcterms:created>
  <dcterms:modified xsi:type="dcterms:W3CDTF">2021-10-29T00:25:00Z</dcterms:modified>
</cp:coreProperties>
</file>